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796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3A0DDB">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1B7101CC">
            <w:pPr>
              <w:pStyle w:val="18"/>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0</w:t>
            </w:r>
            <w:r>
              <w:rPr>
                <w:rFonts w:ascii="黑体" w:hAnsi="黑体" w:eastAsia="黑体"/>
                <w:color w:val="000000" w:themeColor="text1"/>
                <w:sz w:val="21"/>
                <w:szCs w:val="21"/>
                <w14:textFill>
                  <w14:solidFill>
                    <w14:schemeClr w14:val="tx1"/>
                  </w14:solidFill>
                </w14:textFill>
              </w:rPr>
              <w:t>3.100.01</w:t>
            </w:r>
            <w:r>
              <w:rPr>
                <w:rFonts w:ascii="黑体" w:hAnsi="黑体" w:eastAsia="黑体"/>
                <w:color w:val="000000" w:themeColor="text1"/>
                <w:sz w:val="21"/>
                <w:szCs w:val="21"/>
                <w14:textFill>
                  <w14:solidFill>
                    <w14:schemeClr w14:val="tx1"/>
                  </w14:solidFill>
                </w14:textFill>
              </w:rPr>
              <w:fldChar w:fldCharType="end"/>
            </w:r>
            <w:bookmarkEnd w:id="0"/>
          </w:p>
        </w:tc>
      </w:tr>
      <w:tr w14:paraId="7D5E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5B9DA8">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AE40D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0BD014D">
                  <w:pPr>
                    <w:pStyle w:val="50"/>
                    <w:framePr w:wrap="notBeside" w:vAnchor="page" w:hAnchor="page" w:x="1372" w:y="568"/>
                    <w:ind w:left="420" w:right="624"/>
                    <w:rPr>
                      <w:rFonts w:ascii="宋体" w:hAnsi="宋体"/>
                      <w:color w:val="000000" w:themeColor="text1"/>
                      <w:sz w:val="28"/>
                      <w:szCs w:val="28"/>
                      <w14:textFill>
                        <w14:solidFill>
                          <w14:schemeClr w14:val="tx1"/>
                        </w14:solidFill>
                      </w14:textFill>
                    </w:rPr>
                  </w:pPr>
                </w:p>
              </w:tc>
            </w:tr>
          </w:tbl>
          <w:p w14:paraId="59E583D4">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A 01</w:t>
            </w:r>
            <w:r>
              <w:rPr>
                <w:rFonts w:ascii="黑体" w:hAnsi="黑体" w:eastAsia="黑体"/>
                <w:color w:val="000000" w:themeColor="text1"/>
                <w:sz w:val="21"/>
                <w:szCs w:val="21"/>
                <w14:textFill>
                  <w14:solidFill>
                    <w14:schemeClr w14:val="tx1"/>
                  </w14:solidFill>
                </w14:textFill>
              </w:rPr>
              <w:fldChar w:fldCharType="end"/>
            </w:r>
            <w:bookmarkEnd w:id="1"/>
          </w:p>
        </w:tc>
      </w:tr>
    </w:tbl>
    <w:p w14:paraId="0F927B37">
      <w:pPr>
        <w:pStyle w:val="196"/>
        <w:framePr w:wrap="around"/>
        <w:rPr>
          <w:rFonts w:hint="default" w:eastAsia="黑体"/>
          <w:color w:val="000000" w:themeColor="text1"/>
          <w:lang w:val="en-US" w:eastAsia="zh-CN"/>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2"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FSDTA</w:t>
      </w:r>
      <w:r>
        <w:rPr>
          <w:color w:val="000000" w:themeColor="text1"/>
          <w14:textFill>
            <w14:solidFill>
              <w14:schemeClr w14:val="tx1"/>
            </w14:solidFill>
          </w14:textFill>
        </w:rPr>
        <w:fldChar w:fldCharType="end"/>
      </w:r>
      <w:bookmarkEnd w:id="2"/>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005</w:t>
      </w:r>
      <w:r>
        <w:rPr>
          <w:rFonts w:hAnsi="黑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2025</w:t>
      </w:r>
    </w:p>
    <w:p w14:paraId="4780E5E6">
      <w:pPr>
        <w:pStyle w:val="197"/>
        <w:framePr w:wrap="around"/>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3"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3"/>
    </w:p>
    <w:p w14:paraId="48283460">
      <w:pPr>
        <w:pStyle w:val="151"/>
        <w:framePr w:w="7456" w:h="1261" w:hRule="exact" w:wrap="around" w:vAnchor="page" w:hAnchor="page" w:x="2266" w:y="1651"/>
        <w:spacing w:before="120" w:after="120"/>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团体标准</w:t>
      </w:r>
    </w:p>
    <w:p w14:paraId="10BACA04">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5979CB">
      <w:pPr>
        <w:pStyle w:val="51"/>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6668E986">
      <w:pPr>
        <w:pStyle w:val="198"/>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4"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商业秘密保护维权服务站管理规范</w:t>
      </w:r>
      <w:r>
        <w:rPr>
          <w:color w:val="000000" w:themeColor="text1"/>
          <w14:textFill>
            <w14:solidFill>
              <w14:schemeClr w14:val="tx1"/>
            </w14:solidFill>
          </w14:textFill>
        </w:rPr>
        <w:fldChar w:fldCharType="end"/>
      </w:r>
      <w:bookmarkEnd w:id="4"/>
    </w:p>
    <w:p w14:paraId="73D92741">
      <w:pPr>
        <w:framePr w:w="9639" w:h="6974" w:hRule="exact" w:wrap="around" w:vAnchor="page" w:hAnchor="page" w:x="1419" w:y="6408" w:anchorLock="1"/>
        <w:ind w:left="-1418"/>
        <w:rPr>
          <w:color w:val="000000" w:themeColor="text1"/>
          <w14:textFill>
            <w14:solidFill>
              <w14:schemeClr w14:val="tx1"/>
            </w14:solidFill>
          </w14:textFill>
        </w:rPr>
      </w:pPr>
    </w:p>
    <w:p w14:paraId="6B57FFF5">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5"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w:t>
      </w:r>
      <w:r>
        <w:rPr>
          <w:rFonts w:eastAsia="黑体"/>
          <w:color w:val="000000" w:themeColor="text1"/>
          <w:szCs w:val="28"/>
          <w14:textFill>
            <w14:solidFill>
              <w14:schemeClr w14:val="tx1"/>
            </w14:solidFill>
          </w14:textFill>
        </w:rPr>
        <w:fldChar w:fldCharType="end"/>
      </w:r>
      <w:bookmarkEnd w:id="5"/>
    </w:p>
    <w:p w14:paraId="66297026">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0EB663A8">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4EE74304">
      <w:pPr>
        <w:pStyle w:val="126"/>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6"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6"/>
    </w:p>
    <w:p w14:paraId="0B31E0C4">
      <w:pPr>
        <w:pStyle w:val="12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7"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7"/>
    </w:p>
    <w:p w14:paraId="4C0788DF">
      <w:pPr>
        <w:pStyle w:val="126"/>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8"/>
    </w:p>
    <w:p w14:paraId="7FCFBC56">
      <w:pPr>
        <w:pStyle w:val="194"/>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发布</w:t>
      </w:r>
    </w:p>
    <w:p w14:paraId="408AFACD">
      <w:pPr>
        <w:pStyle w:val="195"/>
        <w:framePr w:wrap="around" w:y="14176"/>
        <w:rPr>
          <w:color w:val="000000" w:themeColor="text1"/>
          <w14:textFill>
            <w14:solidFill>
              <w14:schemeClr w14:val="tx1"/>
            </w14:solidFill>
          </w14:textFill>
        </w:rPr>
      </w:pP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 xml:space="preserve"> </w:t>
      </w:r>
      <w:bookmarkStart w:id="98" w:name="_GoBack"/>
      <w:bookmarkEnd w:id="98"/>
      <w:r>
        <w:rPr>
          <w:rFonts w:hint="eastAsia"/>
          <w:color w:val="000000" w:themeColor="text1"/>
          <w14:textFill>
            <w14:solidFill>
              <w14:schemeClr w14:val="tx1"/>
            </w14:solidFill>
          </w14:textFill>
        </w:rPr>
        <w:t>实施</w:t>
      </w:r>
    </w:p>
    <w:p w14:paraId="30F124C5">
      <w:pPr>
        <w:pStyle w:val="152"/>
        <w:framePr w:h="584" w:hRule="exact" w:hSpace="181" w:vSpace="181" w:wrap="around" w:y="14800"/>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9"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佛山市顺德区商标协会</w:t>
      </w:r>
      <w:r>
        <w:rPr>
          <w:rFonts w:hAnsi="黑体"/>
          <w:color w:val="000000" w:themeColor="text1"/>
          <w:w w:val="100"/>
          <w:sz w:val="28"/>
          <w14:textFill>
            <w14:solidFill>
              <w14:schemeClr w14:val="tx1"/>
            </w14:solidFill>
          </w14:textFill>
        </w:rPr>
        <w:fldChar w:fldCharType="end"/>
      </w:r>
      <w:bookmarkEnd w:id="9"/>
      <w:r>
        <w:rPr>
          <w:rFonts w:ascii="Times New Roman"/>
          <w:color w:val="000000" w:themeColor="text1"/>
          <w:w w:val="100"/>
          <w:sz w:val="28"/>
          <w14:textFill>
            <w14:solidFill>
              <w14:schemeClr w14:val="tx1"/>
            </w14:solidFill>
          </w14:textFill>
        </w:rPr>
        <w:t>  </w:t>
      </w:r>
      <w:r>
        <w:rPr>
          <w:rStyle w:val="230"/>
          <w:rFonts w:hint="eastAsia" w:hAnsi="黑体"/>
          <w:color w:val="000000" w:themeColor="text1"/>
          <w:position w:val="0"/>
          <w14:textFill>
            <w14:solidFill>
              <w14:schemeClr w14:val="tx1"/>
            </w14:solidFill>
          </w14:textFill>
        </w:rPr>
        <w:t>发</w:t>
      </w:r>
      <w:r>
        <w:rPr>
          <w:rStyle w:val="230"/>
          <w:rFonts w:hint="eastAsia" w:hAnsi="黑体"/>
          <w:color w:val="000000" w:themeColor="text1"/>
          <w:spacing w:val="0"/>
          <w:position w:val="0"/>
          <w14:textFill>
            <w14:solidFill>
              <w14:schemeClr w14:val="tx1"/>
            </w14:solidFill>
          </w14:textFill>
        </w:rPr>
        <w:t>布</w:t>
      </w:r>
    </w:p>
    <w:p w14:paraId="6BF17D89">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909E81D">
      <w:pPr>
        <w:pStyle w:val="92"/>
        <w:spacing w:after="360"/>
        <w:rPr>
          <w:color w:val="000000" w:themeColor="text1"/>
          <w14:textFill>
            <w14:solidFill>
              <w14:schemeClr w14:val="tx1"/>
            </w14:solidFill>
          </w14:textFill>
        </w:rPr>
      </w:pPr>
      <w:bookmarkStart w:id="10" w:name="BookMark1"/>
      <w:bookmarkStart w:id="11" w:name="_Toc113021835"/>
      <w:bookmarkStart w:id="12" w:name="_Toc106181524"/>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5A512600">
      <w:pPr>
        <w:pStyle w:val="19"/>
        <w:tabs>
          <w:tab w:val="right" w:leader="dot" w:pos="9344"/>
        </w:tabs>
        <w:rPr>
          <w:rFonts w:asciiTheme="minorHAnsi" w:hAnsiTheme="minorHAnsi" w:eastAsiaTheme="minorEastAsia" w:cstheme="minorBidi"/>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"标准文件_一级条标题,2,标准文件_附录一级条标题,2," </w:instrText>
      </w:r>
      <w:r>
        <w:rPr>
          <w:color w:val="000000" w:themeColor="text1"/>
          <w14:textFill>
            <w14:solidFill>
              <w14:schemeClr w14:val="tx1"/>
            </w14:solidFill>
          </w14:textFill>
        </w:rPr>
        <w:fldChar w:fldCharType="separate"/>
      </w:r>
      <w:r>
        <w:fldChar w:fldCharType="begin"/>
      </w:r>
      <w:r>
        <w:instrText xml:space="preserve"> HYPERLINK \l "_Toc220675168" </w:instrText>
      </w:r>
      <w:r>
        <w:fldChar w:fldCharType="separate"/>
      </w:r>
      <w:r>
        <w:rPr>
          <w:rStyle w:val="33"/>
        </w:rPr>
        <w:t>前言</w:t>
      </w:r>
      <w:r>
        <w:tab/>
      </w:r>
      <w:r>
        <w:fldChar w:fldCharType="begin"/>
      </w:r>
      <w:r>
        <w:instrText xml:space="preserve"> PAGEREF _Toc220675168 \h </w:instrText>
      </w:r>
      <w:r>
        <w:fldChar w:fldCharType="separate"/>
      </w:r>
      <w:r>
        <w:t>II</w:t>
      </w:r>
      <w:r>
        <w:fldChar w:fldCharType="end"/>
      </w:r>
      <w:r>
        <w:fldChar w:fldCharType="end"/>
      </w:r>
    </w:p>
    <w:p w14:paraId="3E6396DC">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"_Toc220675169" </w:instrText>
      </w:r>
      <w:r>
        <w:fldChar w:fldCharType="separate"/>
      </w:r>
      <w:r>
        <w:rPr>
          <w:rStyle w:val="33"/>
        </w:rPr>
        <w:t>1 范围</w:t>
      </w:r>
      <w:r>
        <w:tab/>
      </w:r>
      <w:r>
        <w:fldChar w:fldCharType="begin"/>
      </w:r>
      <w:r>
        <w:instrText xml:space="preserve"> PAGEREF _Toc220675169 \h </w:instrText>
      </w:r>
      <w:r>
        <w:fldChar w:fldCharType="separate"/>
      </w:r>
      <w:r>
        <w:t>1</w:t>
      </w:r>
      <w:r>
        <w:fldChar w:fldCharType="end"/>
      </w:r>
      <w:r>
        <w:fldChar w:fldCharType="end"/>
      </w:r>
    </w:p>
    <w:p w14:paraId="5F3321BE">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"_Toc220675170" </w:instrText>
      </w:r>
      <w:r>
        <w:fldChar w:fldCharType="separate"/>
      </w:r>
      <w:r>
        <w:rPr>
          <w:rStyle w:val="33"/>
        </w:rPr>
        <w:t>2 规范性引用文件</w:t>
      </w:r>
      <w:r>
        <w:tab/>
      </w:r>
      <w:r>
        <w:fldChar w:fldCharType="begin"/>
      </w:r>
      <w:r>
        <w:instrText xml:space="preserve"> PAGEREF _Toc220675170 \h </w:instrText>
      </w:r>
      <w:r>
        <w:fldChar w:fldCharType="separate"/>
      </w:r>
      <w:r>
        <w:t>1</w:t>
      </w:r>
      <w:r>
        <w:fldChar w:fldCharType="end"/>
      </w:r>
      <w:r>
        <w:fldChar w:fldCharType="end"/>
      </w:r>
    </w:p>
    <w:p w14:paraId="6B6EE724">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"_Toc220675171" </w:instrText>
      </w:r>
      <w:r>
        <w:fldChar w:fldCharType="separate"/>
      </w:r>
      <w:r>
        <w:rPr>
          <w:rStyle w:val="33"/>
        </w:rPr>
        <w:t>3 术语和定义</w:t>
      </w:r>
      <w:r>
        <w:tab/>
      </w:r>
      <w:r>
        <w:fldChar w:fldCharType="begin"/>
      </w:r>
      <w:r>
        <w:instrText xml:space="preserve"> PAGEREF _Toc220675171 \h </w:instrText>
      </w:r>
      <w:r>
        <w:fldChar w:fldCharType="separate"/>
      </w:r>
      <w:r>
        <w:t>1</w:t>
      </w:r>
      <w:r>
        <w:fldChar w:fldCharType="end"/>
      </w:r>
      <w:r>
        <w:fldChar w:fldCharType="end"/>
      </w:r>
    </w:p>
    <w:p w14:paraId="0FA4E251">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"_Toc220675172" </w:instrText>
      </w:r>
      <w:r>
        <w:fldChar w:fldCharType="separate"/>
      </w:r>
      <w:r>
        <w:rPr>
          <w:rStyle w:val="33"/>
        </w:rPr>
        <w:t>4 总则</w:t>
      </w:r>
      <w:r>
        <w:tab/>
      </w:r>
      <w:r>
        <w:fldChar w:fldCharType="begin"/>
      </w:r>
      <w:r>
        <w:instrText xml:space="preserve"> PAGEREF _Toc220675172 \h </w:instrText>
      </w:r>
      <w:r>
        <w:fldChar w:fldCharType="separate"/>
      </w:r>
      <w:r>
        <w:t>1</w:t>
      </w:r>
      <w:r>
        <w:fldChar w:fldCharType="end"/>
      </w:r>
      <w:r>
        <w:fldChar w:fldCharType="end"/>
      </w:r>
    </w:p>
    <w:p w14:paraId="0346EE9D">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"_Toc220675173" </w:instrText>
      </w:r>
      <w:r>
        <w:fldChar w:fldCharType="separate"/>
      </w:r>
      <w:r>
        <w:rPr>
          <w:rStyle w:val="33"/>
        </w:rPr>
        <w:t>5 宣传培训管理</w:t>
      </w:r>
      <w:r>
        <w:tab/>
      </w:r>
      <w:r>
        <w:fldChar w:fldCharType="begin"/>
      </w:r>
      <w:r>
        <w:instrText xml:space="preserve"> PAGEREF _Toc220675173 \h </w:instrText>
      </w:r>
      <w:r>
        <w:fldChar w:fldCharType="separate"/>
      </w:r>
      <w:r>
        <w:t>1</w:t>
      </w:r>
      <w:r>
        <w:fldChar w:fldCharType="end"/>
      </w:r>
      <w:r>
        <w:fldChar w:fldCharType="end"/>
      </w:r>
    </w:p>
    <w:p w14:paraId="7EF0990E">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"_Toc220675174" </w:instrText>
      </w:r>
      <w:r>
        <w:fldChar w:fldCharType="separate"/>
      </w:r>
      <w:r>
        <w:rPr>
          <w:rStyle w:val="33"/>
        </w:rPr>
        <w:t>6 商业秘密纠纷调解</w:t>
      </w:r>
      <w:r>
        <w:tab/>
      </w:r>
      <w:r>
        <w:fldChar w:fldCharType="begin"/>
      </w:r>
      <w:r>
        <w:instrText xml:space="preserve"> PAGEREF _Toc220675174 \h </w:instrText>
      </w:r>
      <w:r>
        <w:fldChar w:fldCharType="separate"/>
      </w:r>
      <w:r>
        <w:t>2</w:t>
      </w:r>
      <w:r>
        <w:fldChar w:fldCharType="end"/>
      </w:r>
      <w:r>
        <w:fldChar w:fldCharType="end"/>
      </w:r>
    </w:p>
    <w:p w14:paraId="59995F9B">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"_Toc220675175" </w:instrText>
      </w:r>
      <w:r>
        <w:fldChar w:fldCharType="separate"/>
      </w:r>
      <w:r>
        <w:rPr>
          <w:rStyle w:val="33"/>
        </w:rPr>
        <w:t>7 管理组织</w:t>
      </w:r>
      <w:r>
        <w:tab/>
      </w:r>
      <w:r>
        <w:fldChar w:fldCharType="begin"/>
      </w:r>
      <w:r>
        <w:instrText xml:space="preserve"> PAGEREF _Toc220675175 \h </w:instrText>
      </w:r>
      <w:r>
        <w:fldChar w:fldCharType="separate"/>
      </w:r>
      <w:r>
        <w:t>2</w:t>
      </w:r>
      <w:r>
        <w:fldChar w:fldCharType="end"/>
      </w:r>
      <w:r>
        <w:fldChar w:fldCharType="end"/>
      </w:r>
    </w:p>
    <w:p w14:paraId="539A1B1A">
      <w:pPr>
        <w:pStyle w:val="92"/>
        <w:spacing w:after="360"/>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color w:val="000000" w:themeColor="text1"/>
          <w14:textFill>
            <w14:solidFill>
              <w14:schemeClr w14:val="tx1"/>
            </w14:solidFill>
          </w14:textFill>
        </w:rPr>
        <w:fldChar w:fldCharType="end"/>
      </w:r>
    </w:p>
    <w:bookmarkEnd w:id="10"/>
    <w:p w14:paraId="3C266F8F">
      <w:pPr>
        <w:pStyle w:val="90"/>
        <w:spacing w:after="360"/>
        <w:rPr>
          <w:color w:val="000000" w:themeColor="text1"/>
          <w14:textFill>
            <w14:solidFill>
              <w14:schemeClr w14:val="tx1"/>
            </w14:solidFill>
          </w14:textFill>
        </w:rPr>
      </w:pPr>
      <w:bookmarkStart w:id="13" w:name="_Toc220675168"/>
      <w:bookmarkStart w:id="14"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1"/>
      <w:bookmarkEnd w:id="12"/>
      <w:bookmarkEnd w:id="13"/>
    </w:p>
    <w:p w14:paraId="46F9F96B">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752436B6">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3DB36746">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本文件由佛山市顺德区商标协会提出并归口。</w:t>
      </w:r>
    </w:p>
    <w:p w14:paraId="6A8EC960">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佛山市顺德区商标协会、佛山市顺德区质量技术监督标准与编码所、广东申菱环境系统股份有限公司、美的集团股份有限公司、广东格兰仕集团有限公司、佛山市云米电器科技有限公司、伊之密股份有限公司。</w:t>
      </w:r>
    </w:p>
    <w:p w14:paraId="7D28049E">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本文件主要起草人：谭先彬、侯军霞、郭天宇、李春、仲春、刘凯、林建锋、吴澌欣、琚日升、李勇、何龙彪、曾昌文。</w:t>
      </w:r>
    </w:p>
    <w:p w14:paraId="1317C7CE">
      <w:pPr>
        <w:pStyle w:val="231"/>
        <w:rPr>
          <w:color w:val="000000" w:themeColor="text1"/>
          <w14:textFill>
            <w14:solidFill>
              <w14:schemeClr w14:val="tx1"/>
            </w14:solidFill>
          </w14:textFill>
        </w:rPr>
      </w:pPr>
    </w:p>
    <w:p w14:paraId="3AC8E8FD">
      <w:pPr>
        <w:pStyle w:val="57"/>
        <w:ind w:firstLine="420"/>
        <w:rPr>
          <w:color w:val="000000" w:themeColor="text1"/>
          <w14:textFill>
            <w14:solidFill>
              <w14:schemeClr w14:val="tx1"/>
            </w14:solidFill>
          </w14:textFill>
        </w:rPr>
      </w:pPr>
    </w:p>
    <w:p w14:paraId="387B4DB0">
      <w:pPr>
        <w:pStyle w:val="57"/>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4"/>
    <w:p w14:paraId="6CAC561D">
      <w:pPr>
        <w:spacing w:line="20" w:lineRule="exact"/>
        <w:jc w:val="center"/>
        <w:rPr>
          <w:rFonts w:ascii="黑体" w:hAnsi="黑体" w:eastAsia="黑体"/>
          <w:color w:val="000000" w:themeColor="text1"/>
          <w:sz w:val="32"/>
          <w:szCs w:val="32"/>
          <w14:textFill>
            <w14:solidFill>
              <w14:schemeClr w14:val="tx1"/>
            </w14:solidFill>
          </w14:textFill>
        </w:rPr>
      </w:pPr>
      <w:bookmarkStart w:id="15" w:name="BookMark4"/>
    </w:p>
    <w:p w14:paraId="27F20E50">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93885C621E8D4FE59CB587E45A96531B"/>
        </w:placeholder>
      </w:sdtPr>
      <w:sdtEndPr>
        <w:rPr>
          <w:color w:val="000000" w:themeColor="text1"/>
          <w14:textFill>
            <w14:solidFill>
              <w14:schemeClr w14:val="tx1"/>
            </w14:solidFill>
          </w14:textFill>
        </w:rPr>
      </w:sdtEndPr>
      <w:sdtContent>
        <w:p w14:paraId="01115EDE">
          <w:pPr>
            <w:pStyle w:val="178"/>
            <w:spacing w:before="240" w:beforeLines="100" w:after="528" w:afterLines="220"/>
            <w:rPr>
              <w:color w:val="000000" w:themeColor="text1"/>
              <w14:textFill>
                <w14:solidFill>
                  <w14:schemeClr w14:val="tx1"/>
                </w14:solidFill>
              </w14:textFill>
            </w:rPr>
          </w:pPr>
          <w:bookmarkStart w:id="16" w:name="NEW_STAND_NAME"/>
          <w:r>
            <w:rPr>
              <w:rFonts w:hint="eastAsia"/>
              <w:color w:val="000000" w:themeColor="text1"/>
              <w14:textFill>
                <w14:solidFill>
                  <w14:schemeClr w14:val="tx1"/>
                </w14:solidFill>
              </w14:textFill>
            </w:rPr>
            <w:t>商业秘密保护维权服务站管理规范</w:t>
          </w:r>
        </w:p>
      </w:sdtContent>
    </w:sdt>
    <w:bookmarkEnd w:id="16"/>
    <w:p w14:paraId="6BCFD2C5">
      <w:pPr>
        <w:pStyle w:val="105"/>
        <w:spacing w:before="240" w:after="240"/>
        <w:ind w:left="0"/>
        <w:rPr>
          <w:color w:val="000000" w:themeColor="text1"/>
          <w14:textFill>
            <w14:solidFill>
              <w14:schemeClr w14:val="tx1"/>
            </w14:solidFill>
          </w14:textFill>
        </w:rPr>
      </w:pPr>
      <w:bookmarkStart w:id="17" w:name="_Toc113021836"/>
      <w:bookmarkStart w:id="18" w:name="_Toc17233325"/>
      <w:bookmarkStart w:id="19" w:name="_Toc26986530"/>
      <w:bookmarkStart w:id="20" w:name="_Toc26648465"/>
      <w:bookmarkStart w:id="21" w:name="_Toc220675169"/>
      <w:bookmarkStart w:id="22" w:name="_Toc97192964"/>
      <w:bookmarkStart w:id="23" w:name="_Toc26986771"/>
      <w:bookmarkStart w:id="24" w:name="_Toc106181525"/>
      <w:bookmarkStart w:id="25" w:name="_Toc17233333"/>
      <w:bookmarkStart w:id="26" w:name="_Toc24884218"/>
      <w:bookmarkStart w:id="27" w:name="_Toc24884211"/>
      <w:bookmarkStart w:id="28" w:name="_Toc26718930"/>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bookmarkEnd w:id="27"/>
      <w:bookmarkEnd w:id="28"/>
    </w:p>
    <w:p w14:paraId="30EBE0D4">
      <w:pPr>
        <w:pStyle w:val="57"/>
        <w:ind w:firstLine="420"/>
        <w:rPr>
          <w:kern w:val="2"/>
          <w:sz w:val="24"/>
          <w:szCs w:val="24"/>
        </w:rPr>
      </w:pPr>
      <w:bookmarkStart w:id="29" w:name="_Toc113021837"/>
      <w:bookmarkStart w:id="30" w:name="_Toc97192965"/>
      <w:bookmarkStart w:id="31" w:name="_Toc24884212"/>
      <w:bookmarkStart w:id="32" w:name="_Toc26648466"/>
      <w:bookmarkStart w:id="33" w:name="_Toc17233326"/>
      <w:bookmarkStart w:id="34" w:name="_Toc106181526"/>
      <w:bookmarkStart w:id="35" w:name="_Toc26718931"/>
      <w:bookmarkStart w:id="36" w:name="_Toc17233334"/>
      <w:bookmarkStart w:id="37" w:name="_Toc26986531"/>
      <w:bookmarkStart w:id="38" w:name="_Toc24884219"/>
      <w:bookmarkStart w:id="39" w:name="_Toc26986772"/>
      <w:r>
        <w:rPr>
          <w:rFonts w:hint="eastAsia"/>
        </w:rPr>
        <w:t>本文件规定了商业秘密保护</w:t>
      </w:r>
      <w:r>
        <w:rPr>
          <w:rFonts w:hint="eastAsia" w:hAnsi="宋体" w:cs="宋体"/>
          <w:szCs w:val="21"/>
        </w:rPr>
        <w:t>维权服务站的</w:t>
      </w:r>
      <w:r>
        <w:rPr>
          <w:rFonts w:hint="eastAsia"/>
        </w:rPr>
        <w:t>咨询服务管理、宣传培训管理、商业秘密纠纷调解。</w:t>
      </w:r>
    </w:p>
    <w:p w14:paraId="308B76A9">
      <w:pPr>
        <w:pStyle w:val="57"/>
        <w:ind w:firstLine="420"/>
      </w:pPr>
      <w:r>
        <w:rPr>
          <w:rFonts w:hint="eastAsia"/>
        </w:rPr>
        <w:t>本文件适用于商业秘密保护</w:t>
      </w:r>
      <w:r>
        <w:rPr>
          <w:rFonts w:hint="eastAsia" w:hAnsi="宋体" w:cs="宋体"/>
          <w:szCs w:val="21"/>
        </w:rPr>
        <w:t>维权服务站</w:t>
      </w:r>
      <w:r>
        <w:rPr>
          <w:rFonts w:hint="eastAsia"/>
        </w:rPr>
        <w:t>管理</w:t>
      </w:r>
      <w:r>
        <w:rPr>
          <w:rFonts w:hint="eastAsia" w:hAnsi="宋体"/>
          <w:lang w:bidi="ar"/>
        </w:rPr>
        <w:t>。</w:t>
      </w:r>
    </w:p>
    <w:p w14:paraId="24EC8F7B">
      <w:pPr>
        <w:pStyle w:val="105"/>
        <w:spacing w:before="240" w:after="240"/>
        <w:ind w:left="0"/>
        <w:rPr>
          <w:color w:val="000000" w:themeColor="text1"/>
          <w14:textFill>
            <w14:solidFill>
              <w14:schemeClr w14:val="tx1"/>
            </w14:solidFill>
          </w14:textFill>
        </w:rPr>
      </w:pPr>
      <w:bookmarkStart w:id="40" w:name="_Toc220675170"/>
      <w:r>
        <w:rPr>
          <w:rFonts w:hint="eastAsia"/>
          <w:color w:val="000000" w:themeColor="text1"/>
          <w14:textFill>
            <w14:solidFill>
              <w14:schemeClr w14:val="tx1"/>
            </w14:solidFill>
          </w14:textFill>
        </w:rPr>
        <w:t>规范性引用文件</w:t>
      </w:r>
      <w:bookmarkEnd w:id="29"/>
      <w:bookmarkEnd w:id="30"/>
      <w:bookmarkEnd w:id="31"/>
      <w:bookmarkEnd w:id="32"/>
      <w:bookmarkEnd w:id="33"/>
      <w:bookmarkEnd w:id="34"/>
      <w:bookmarkEnd w:id="35"/>
      <w:bookmarkEnd w:id="36"/>
      <w:bookmarkEnd w:id="37"/>
      <w:bookmarkEnd w:id="38"/>
      <w:bookmarkEnd w:id="39"/>
      <w:bookmarkEnd w:id="40"/>
    </w:p>
    <w:p w14:paraId="438A9AFD">
      <w:pPr>
        <w:pStyle w:val="25"/>
        <w:autoSpaceDE w:val="0"/>
        <w:autoSpaceDN w:val="0"/>
        <w:ind w:firstLine="420" w:firstLineChars="200"/>
      </w:pPr>
      <w:bookmarkStart w:id="41" w:name="_Toc97192966"/>
      <w:bookmarkStart w:id="42" w:name="_Toc106181527"/>
      <w:bookmarkStart w:id="43" w:name="_Toc113021838"/>
      <w:r>
        <w:rPr>
          <w:rFonts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D8BBD4D">
      <w:pPr>
        <w:pStyle w:val="25"/>
        <w:autoSpaceDE w:val="0"/>
        <w:autoSpaceDN w:val="0"/>
        <w:ind w:firstLine="420" w:firstLineChars="200"/>
      </w:pPr>
      <w:r>
        <w:rPr>
          <w:rFonts w:hint="eastAsia"/>
          <w:sz w:val="21"/>
          <w:szCs w:val="20"/>
          <w:lang w:bidi="ar"/>
        </w:rPr>
        <w:t>本文件没有规范性引用文件。</w:t>
      </w:r>
    </w:p>
    <w:p w14:paraId="207458D6">
      <w:pPr>
        <w:pStyle w:val="105"/>
        <w:spacing w:before="240" w:after="240"/>
        <w:ind w:left="0"/>
        <w:rPr>
          <w:color w:val="000000" w:themeColor="text1"/>
          <w14:textFill>
            <w14:solidFill>
              <w14:schemeClr w14:val="tx1"/>
            </w14:solidFill>
          </w14:textFill>
        </w:rPr>
      </w:pPr>
      <w:bookmarkStart w:id="44" w:name="_Toc220675171"/>
      <w:r>
        <w:rPr>
          <w:rFonts w:hint="eastAsia"/>
          <w:color w:val="000000" w:themeColor="text1"/>
          <w:szCs w:val="21"/>
          <w14:textFill>
            <w14:solidFill>
              <w14:schemeClr w14:val="tx1"/>
            </w14:solidFill>
          </w14:textFill>
        </w:rPr>
        <w:t>术语和定义</w:t>
      </w:r>
      <w:bookmarkEnd w:id="41"/>
      <w:bookmarkEnd w:id="42"/>
      <w:bookmarkEnd w:id="43"/>
      <w:bookmarkEnd w:id="44"/>
    </w:p>
    <w:sdt>
      <w:sdtPr>
        <w:rPr>
          <w:rFonts w:hint="eastAsia"/>
          <w:color w:val="000000" w:themeColor="text1"/>
          <w14:textFill>
            <w14:solidFill>
              <w14:schemeClr w14:val="tx1"/>
            </w14:solidFill>
          </w14:textFill>
        </w:rPr>
        <w:id w:val="-1909835108"/>
        <w:placeholder>
          <w:docPart w:val="393BDBBAA30341C58BF6B27256F1D8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14:paraId="34940A2F">
          <w:pPr>
            <w:pStyle w:val="57"/>
            <w:ind w:firstLine="420"/>
            <w:rPr>
              <w:color w:val="000000" w:themeColor="text1"/>
              <w14:textFill>
                <w14:solidFill>
                  <w14:schemeClr w14:val="tx1"/>
                </w14:solidFill>
              </w14:textFill>
            </w:rPr>
          </w:pPr>
          <w:bookmarkStart w:id="45" w:name="_Toc26986532"/>
          <w:bookmarkEnd w:id="45"/>
          <w:r>
            <w:rPr>
              <w:rFonts w:hint="eastAsia" w:hAnsi="宋体"/>
              <w:lang w:bidi="ar"/>
            </w:rPr>
            <w:t>本文件没有需要界定的术语和定义。</w:t>
          </w:r>
        </w:p>
      </w:sdtContent>
    </w:sdt>
    <w:p w14:paraId="0B46F736">
      <w:pPr>
        <w:pStyle w:val="105"/>
        <w:spacing w:before="240" w:after="240"/>
        <w:ind w:left="0"/>
        <w:rPr>
          <w:color w:val="000000" w:themeColor="text1"/>
          <w:szCs w:val="21"/>
          <w14:textFill>
            <w14:solidFill>
              <w14:schemeClr w14:val="tx1"/>
            </w14:solidFill>
          </w14:textFill>
        </w:rPr>
      </w:pPr>
      <w:bookmarkStart w:id="46" w:name="_Toc111099626"/>
      <w:bookmarkEnd w:id="46"/>
      <w:bookmarkStart w:id="47" w:name="_Toc110419614"/>
      <w:bookmarkEnd w:id="47"/>
      <w:bookmarkStart w:id="48" w:name="_Toc100239335"/>
      <w:bookmarkEnd w:id="48"/>
      <w:bookmarkStart w:id="49" w:name="_Toc114045532"/>
      <w:bookmarkEnd w:id="49"/>
      <w:bookmarkStart w:id="50" w:name="_Toc111564834"/>
      <w:bookmarkEnd w:id="50"/>
      <w:bookmarkStart w:id="51" w:name="_Toc116631297"/>
      <w:bookmarkEnd w:id="51"/>
      <w:bookmarkStart w:id="52" w:name="_Toc113008782"/>
      <w:bookmarkEnd w:id="52"/>
      <w:bookmarkStart w:id="53" w:name="_Toc111635695"/>
      <w:bookmarkEnd w:id="53"/>
      <w:bookmarkStart w:id="54" w:name="_Toc117521481"/>
      <w:bookmarkEnd w:id="54"/>
      <w:bookmarkStart w:id="55" w:name="_Toc112835999"/>
      <w:bookmarkEnd w:id="55"/>
      <w:bookmarkStart w:id="56" w:name="_Toc103182599"/>
      <w:bookmarkEnd w:id="56"/>
      <w:bookmarkStart w:id="57" w:name="_Toc111454810"/>
      <w:bookmarkEnd w:id="57"/>
      <w:bookmarkStart w:id="58" w:name="_Toc103982126"/>
      <w:bookmarkEnd w:id="58"/>
      <w:bookmarkStart w:id="59" w:name="_Toc113021635"/>
      <w:bookmarkEnd w:id="59"/>
      <w:bookmarkStart w:id="60" w:name="_Toc111586520"/>
      <w:bookmarkEnd w:id="60"/>
      <w:bookmarkStart w:id="61" w:name="_Toc113021839"/>
      <w:bookmarkEnd w:id="61"/>
      <w:bookmarkStart w:id="62" w:name="_Toc220675172"/>
      <w:r>
        <w:rPr>
          <w:rFonts w:hint="eastAsia"/>
          <w:color w:val="000000" w:themeColor="text1"/>
          <w:szCs w:val="21"/>
          <w14:textFill>
            <w14:solidFill>
              <w14:schemeClr w14:val="tx1"/>
            </w14:solidFill>
          </w14:textFill>
        </w:rPr>
        <w:t>总则</w:t>
      </w:r>
      <w:bookmarkEnd w:id="62"/>
    </w:p>
    <w:p w14:paraId="2D123E68">
      <w:pPr>
        <w:pStyle w:val="163"/>
      </w:pPr>
      <w:bookmarkStart w:id="63" w:name="_Toc111454812"/>
      <w:bookmarkEnd w:id="63"/>
      <w:bookmarkStart w:id="64" w:name="_Toc113008788"/>
      <w:bookmarkEnd w:id="64"/>
      <w:bookmarkStart w:id="65" w:name="_Toc116631299"/>
      <w:bookmarkEnd w:id="65"/>
      <w:bookmarkStart w:id="66" w:name="_Toc114045538"/>
      <w:bookmarkEnd w:id="66"/>
      <w:bookmarkStart w:id="67" w:name="_Toc111586526"/>
      <w:bookmarkEnd w:id="67"/>
      <w:bookmarkStart w:id="68" w:name="_Toc113008784"/>
      <w:bookmarkEnd w:id="68"/>
      <w:bookmarkStart w:id="69" w:name="_Toc111099628"/>
      <w:bookmarkEnd w:id="69"/>
      <w:bookmarkStart w:id="70" w:name="_Toc110419616"/>
      <w:bookmarkEnd w:id="70"/>
      <w:bookmarkStart w:id="71" w:name="_Toc117521483"/>
      <w:bookmarkEnd w:id="71"/>
      <w:bookmarkStart w:id="72" w:name="_Toc111099632"/>
      <w:bookmarkEnd w:id="72"/>
      <w:bookmarkStart w:id="73" w:name="_Toc110419618"/>
      <w:bookmarkEnd w:id="73"/>
      <w:bookmarkStart w:id="74" w:name="_Toc111099630"/>
      <w:bookmarkEnd w:id="74"/>
      <w:bookmarkStart w:id="75" w:name="_Toc113021641"/>
      <w:bookmarkEnd w:id="75"/>
      <w:bookmarkStart w:id="76" w:name="_Toc111564836"/>
      <w:bookmarkEnd w:id="76"/>
      <w:bookmarkStart w:id="77" w:name="_Toc111454814"/>
      <w:bookmarkEnd w:id="77"/>
      <w:bookmarkStart w:id="78" w:name="_Toc113021845"/>
      <w:bookmarkEnd w:id="78"/>
      <w:bookmarkStart w:id="79" w:name="_Toc112836001"/>
      <w:bookmarkEnd w:id="79"/>
      <w:bookmarkStart w:id="80" w:name="_Toc117521487"/>
      <w:bookmarkEnd w:id="80"/>
      <w:bookmarkStart w:id="81" w:name="_Toc111454816"/>
      <w:bookmarkEnd w:id="81"/>
      <w:bookmarkStart w:id="82" w:name="_Toc111635697"/>
      <w:bookmarkEnd w:id="82"/>
      <w:bookmarkStart w:id="83" w:name="_Toc110419620"/>
      <w:bookmarkEnd w:id="83"/>
      <w:bookmarkStart w:id="84" w:name="_Toc113021637"/>
      <w:bookmarkEnd w:id="84"/>
      <w:bookmarkStart w:id="85" w:name="_Toc111635701"/>
      <w:bookmarkEnd w:id="85"/>
      <w:bookmarkStart w:id="86" w:name="_Toc114045534"/>
      <w:bookmarkEnd w:id="86"/>
      <w:bookmarkStart w:id="87" w:name="_Toc112836005"/>
      <w:bookmarkEnd w:id="87"/>
      <w:bookmarkStart w:id="88" w:name="_Toc111564840"/>
      <w:bookmarkEnd w:id="88"/>
      <w:bookmarkStart w:id="89" w:name="_Toc116631303"/>
      <w:bookmarkEnd w:id="89"/>
      <w:bookmarkStart w:id="90" w:name="_Toc113021841"/>
      <w:bookmarkEnd w:id="90"/>
      <w:bookmarkStart w:id="91" w:name="_Toc111586522"/>
      <w:bookmarkEnd w:id="91"/>
      <w:bookmarkStart w:id="92" w:name="_Toc106181528"/>
      <w:r>
        <w:rPr>
          <w:rFonts w:hint="eastAsia"/>
        </w:rPr>
        <w:t>维权服务站提供商业秘密保护服务的范围主要包括：</w:t>
      </w:r>
    </w:p>
    <w:p w14:paraId="4CD7019E">
      <w:pPr>
        <w:pStyle w:val="175"/>
        <w:numPr>
          <w:ilvl w:val="0"/>
          <w:numId w:val="33"/>
        </w:numPr>
      </w:pPr>
      <w:r>
        <w:rPr>
          <w:rFonts w:hint="eastAsia"/>
        </w:rPr>
        <w:t>商业秘密相关的法律、法规、政策等文件咨询；</w:t>
      </w:r>
    </w:p>
    <w:p w14:paraId="5EDED98A">
      <w:pPr>
        <w:pStyle w:val="175"/>
        <w:numPr>
          <w:ilvl w:val="0"/>
          <w:numId w:val="33"/>
        </w:numPr>
      </w:pPr>
      <w:r>
        <w:rPr>
          <w:rFonts w:hint="eastAsia"/>
        </w:rPr>
        <w:t>商业秘密管理体系的建设咨询；</w:t>
      </w:r>
    </w:p>
    <w:p w14:paraId="3158607C">
      <w:pPr>
        <w:pStyle w:val="175"/>
        <w:numPr>
          <w:ilvl w:val="0"/>
          <w:numId w:val="33"/>
        </w:numPr>
      </w:pPr>
      <w:r>
        <w:rPr>
          <w:rFonts w:hint="eastAsia"/>
        </w:rPr>
        <w:t>商业秘密相关的法律维权咨询；</w:t>
      </w:r>
    </w:p>
    <w:p w14:paraId="28749097">
      <w:pPr>
        <w:pStyle w:val="175"/>
        <w:numPr>
          <w:ilvl w:val="0"/>
          <w:numId w:val="33"/>
        </w:numPr>
      </w:pPr>
      <w:r>
        <w:rPr>
          <w:rFonts w:hint="eastAsia"/>
        </w:rPr>
        <w:t>其他商业秘密保护相关的服务。</w:t>
      </w:r>
    </w:p>
    <w:p w14:paraId="1A376352">
      <w:pPr>
        <w:pStyle w:val="163"/>
      </w:pPr>
      <w:r>
        <w:rPr>
          <w:rFonts w:hint="eastAsia"/>
        </w:rPr>
        <w:t>相关咨询申请人可通过对外开放的公开渠道，向基地反馈书面咨询申请材料。</w:t>
      </w:r>
    </w:p>
    <w:p w14:paraId="0320EE79">
      <w:pPr>
        <w:pStyle w:val="163"/>
      </w:pPr>
      <w:r>
        <w:rPr>
          <w:rFonts w:hint="eastAsia"/>
        </w:rPr>
        <w:t>维权服务站接受咨询服务的公开渠道可包括工作窗口、咨询电话、网站。</w:t>
      </w:r>
    </w:p>
    <w:p w14:paraId="1438E387">
      <w:pPr>
        <w:pStyle w:val="163"/>
      </w:pPr>
      <w:r>
        <w:rPr>
          <w:rFonts w:hint="eastAsia"/>
        </w:rPr>
        <w:t>可供接收书面材料的公开渠道可包括工作窗口、网站、邮箱。</w:t>
      </w:r>
    </w:p>
    <w:p w14:paraId="626900E4">
      <w:pPr>
        <w:pStyle w:val="163"/>
      </w:pPr>
      <w:r>
        <w:rPr>
          <w:rFonts w:hint="eastAsia"/>
        </w:rPr>
        <w:t>收到申请材料后，维权服务站应在三个工作日内审查完毕是否符合受理条件。</w:t>
      </w:r>
    </w:p>
    <w:p w14:paraId="343AE8ED">
      <w:pPr>
        <w:pStyle w:val="175"/>
        <w:numPr>
          <w:ilvl w:val="0"/>
          <w:numId w:val="34"/>
        </w:numPr>
      </w:pPr>
      <w:r>
        <w:rPr>
          <w:rFonts w:hint="eastAsia"/>
        </w:rPr>
        <w:t>符合受理条件的，维权服务站应受理并建档；</w:t>
      </w:r>
    </w:p>
    <w:p w14:paraId="48BFE65F">
      <w:pPr>
        <w:pStyle w:val="175"/>
        <w:rPr>
          <w:rFonts w:hAnsi="宋体" w:cs="宋体"/>
        </w:rPr>
      </w:pPr>
      <w:r>
        <w:rPr>
          <w:rFonts w:hint="eastAsia" w:hAnsi="宋体" w:cs="宋体"/>
          <w:szCs w:val="21"/>
        </w:rPr>
        <w:t>受理后沟通了解并记录基本情况、相关事实、主要问题和诉求；</w:t>
      </w:r>
    </w:p>
    <w:p w14:paraId="75D9748A">
      <w:pPr>
        <w:pStyle w:val="175"/>
      </w:pPr>
      <w:r>
        <w:rPr>
          <w:rFonts w:hint="eastAsia"/>
        </w:rPr>
        <w:t>不符合受理条件的，维权服务站应说明理由并退还全部材料。</w:t>
      </w:r>
    </w:p>
    <w:p w14:paraId="41CC2D74">
      <w:pPr>
        <w:pStyle w:val="163"/>
      </w:pPr>
      <w:r>
        <w:rPr>
          <w:rFonts w:hint="eastAsia"/>
        </w:rPr>
        <w:t>受理后，维权服务站应根据申请人咨询的内容应在七个工作日内组织内部研讨制定答复意见，必要时可咨询第三方机构外部专家、行政机关、司法机关等外部资源。</w:t>
      </w:r>
    </w:p>
    <w:p w14:paraId="58375013">
      <w:pPr>
        <w:pStyle w:val="163"/>
      </w:pPr>
      <w:r>
        <w:rPr>
          <w:rFonts w:hint="eastAsia"/>
        </w:rPr>
        <w:t>对咨询问题初步研讨后，维权服务站应告知答复期限，在期限内及时准确予以答复。</w:t>
      </w:r>
    </w:p>
    <w:p w14:paraId="04CB37D6">
      <w:pPr>
        <w:pStyle w:val="163"/>
      </w:pPr>
      <w:r>
        <w:rPr>
          <w:rFonts w:hint="eastAsia"/>
        </w:rPr>
        <w:t>维权服务站应形成商业秘密保护服务的记录文件。</w:t>
      </w:r>
    </w:p>
    <w:p w14:paraId="5DF1511F">
      <w:pPr>
        <w:pStyle w:val="163"/>
      </w:pPr>
      <w:r>
        <w:rPr>
          <w:rFonts w:hint="eastAsia"/>
        </w:rPr>
        <w:t>答复咨询后，维权服务站应回访服务满意度并保留记录，如申请人需要可继续提供后续服务。</w:t>
      </w:r>
    </w:p>
    <w:bookmarkEnd w:id="92"/>
    <w:p w14:paraId="6121EA6E">
      <w:pPr>
        <w:pStyle w:val="105"/>
        <w:spacing w:before="240" w:after="240"/>
        <w:ind w:left="0"/>
        <w:rPr>
          <w:color w:val="000000" w:themeColor="text1"/>
          <w:szCs w:val="21"/>
          <w14:textFill>
            <w14:solidFill>
              <w14:schemeClr w14:val="tx1"/>
            </w14:solidFill>
          </w14:textFill>
        </w:rPr>
      </w:pPr>
      <w:bookmarkStart w:id="93" w:name="_Toc220675173"/>
      <w:bookmarkStart w:id="94" w:name="_Toc113021856"/>
      <w:bookmarkStart w:id="95" w:name="_Toc106181529"/>
      <w:r>
        <w:rPr>
          <w:rFonts w:hint="eastAsia"/>
          <w:color w:val="000000" w:themeColor="text1"/>
          <w:szCs w:val="21"/>
          <w14:textFill>
            <w14:solidFill>
              <w14:schemeClr w14:val="tx1"/>
            </w14:solidFill>
          </w14:textFill>
        </w:rPr>
        <w:t>宣传培训管理</w:t>
      </w:r>
      <w:bookmarkEnd w:id="93"/>
    </w:p>
    <w:p w14:paraId="11AC4BB4">
      <w:pPr>
        <w:pStyle w:val="163"/>
      </w:pPr>
      <w:r>
        <w:rPr>
          <w:rFonts w:hint="eastAsia"/>
        </w:rPr>
        <w:t>维权服务站应通过公开渠道对外宣传维权服务站提供的商业秘密保护服务内容。</w:t>
      </w:r>
    </w:p>
    <w:p w14:paraId="4B2FAAA9">
      <w:pPr>
        <w:pStyle w:val="163"/>
      </w:pPr>
      <w:r>
        <w:rPr>
          <w:rFonts w:hint="eastAsia"/>
        </w:rPr>
        <w:t>维权服务站可汇编法律法规、典型案例、常见问题、维权指引、体系建设指引等含有商业秘密保护 资料的宣传册，并通过以下方式对外宣传：</w:t>
      </w:r>
    </w:p>
    <w:p w14:paraId="4DE43249">
      <w:pPr>
        <w:pStyle w:val="175"/>
        <w:numPr>
          <w:ilvl w:val="0"/>
          <w:numId w:val="35"/>
        </w:numPr>
      </w:pPr>
      <w:r>
        <w:rPr>
          <w:rFonts w:hint="eastAsia"/>
        </w:rPr>
        <w:t>现场派发宣传资料；</w:t>
      </w:r>
    </w:p>
    <w:p w14:paraId="789E4E06">
      <w:pPr>
        <w:pStyle w:val="175"/>
        <w:numPr>
          <w:ilvl w:val="0"/>
          <w:numId w:val="35"/>
        </w:numPr>
      </w:pPr>
      <w:r>
        <w:rPr>
          <w:rFonts w:hint="eastAsia"/>
        </w:rPr>
        <w:t>线上提供宣传资料下载；</w:t>
      </w:r>
    </w:p>
    <w:p w14:paraId="58F26796">
      <w:pPr>
        <w:pStyle w:val="175"/>
        <w:numPr>
          <w:ilvl w:val="0"/>
          <w:numId w:val="35"/>
        </w:numPr>
      </w:pPr>
      <w:r>
        <w:rPr>
          <w:rFonts w:hint="eastAsia"/>
        </w:rPr>
        <w:t>开展商业秘密保护的相关培训；</w:t>
      </w:r>
    </w:p>
    <w:p w14:paraId="53FFE035">
      <w:pPr>
        <w:pStyle w:val="175"/>
        <w:numPr>
          <w:ilvl w:val="0"/>
          <w:numId w:val="35"/>
        </w:numPr>
      </w:pPr>
      <w:r>
        <w:rPr>
          <w:rFonts w:hint="eastAsia"/>
        </w:rPr>
        <w:t>举办商业秘密保护研讨会；</w:t>
      </w:r>
    </w:p>
    <w:p w14:paraId="763A0B42">
      <w:pPr>
        <w:pStyle w:val="175"/>
        <w:numPr>
          <w:ilvl w:val="0"/>
          <w:numId w:val="35"/>
        </w:numPr>
      </w:pPr>
      <w:r>
        <w:rPr>
          <w:rFonts w:hint="eastAsia"/>
        </w:rPr>
        <w:t>通过协会官网、协会公众号宣传。</w:t>
      </w:r>
    </w:p>
    <w:p w14:paraId="2481051B">
      <w:pPr>
        <w:pStyle w:val="163"/>
      </w:pPr>
      <w:r>
        <w:rPr>
          <w:rFonts w:hint="eastAsia"/>
        </w:rPr>
        <w:t>维权服务站的宣传服务包括以下工作流程：</w:t>
      </w:r>
    </w:p>
    <w:p w14:paraId="239EF429">
      <w:pPr>
        <w:pStyle w:val="175"/>
        <w:numPr>
          <w:ilvl w:val="0"/>
          <w:numId w:val="36"/>
        </w:numPr>
      </w:pPr>
      <w:r>
        <w:rPr>
          <w:rFonts w:hint="eastAsia"/>
        </w:rPr>
        <w:t>识别、收集、筛选、分类、整理各级政府部门发布的与商业秘密相关的法律、法规、政策、重要新闻和经典案例；</w:t>
      </w:r>
    </w:p>
    <w:p w14:paraId="72A74F2A">
      <w:pPr>
        <w:pStyle w:val="175"/>
        <w:numPr>
          <w:ilvl w:val="0"/>
          <w:numId w:val="36"/>
        </w:numPr>
      </w:pPr>
      <w:r>
        <w:rPr>
          <w:rFonts w:hint="eastAsia"/>
        </w:rPr>
        <w:t>整理、汇编、撰写、制作宣传内容，并保持信息及时更新；</w:t>
      </w:r>
    </w:p>
    <w:p w14:paraId="36EE6A15">
      <w:pPr>
        <w:pStyle w:val="175"/>
        <w:numPr>
          <w:ilvl w:val="0"/>
          <w:numId w:val="36"/>
        </w:numPr>
      </w:pPr>
      <w:r>
        <w:rPr>
          <w:rFonts w:hint="eastAsia"/>
        </w:rPr>
        <w:t xml:space="preserve">组织示范企业等共同开展基层商业秘密宣传工作； </w:t>
      </w:r>
    </w:p>
    <w:p w14:paraId="42FEA054">
      <w:pPr>
        <w:pStyle w:val="175"/>
        <w:numPr>
          <w:ilvl w:val="0"/>
          <w:numId w:val="36"/>
        </w:numPr>
      </w:pPr>
      <w:r>
        <w:rPr>
          <w:rFonts w:hint="eastAsia"/>
        </w:rPr>
        <w:t>定期归档宣传内容，并接受建议和反馈。</w:t>
      </w:r>
    </w:p>
    <w:p w14:paraId="1F44EA2A">
      <w:pPr>
        <w:pStyle w:val="163"/>
      </w:pPr>
      <w:r>
        <w:rPr>
          <w:rFonts w:hint="eastAsia"/>
        </w:rPr>
        <w:t>维权服务站应定期邀请学者或专家举办相关专题培训，培训内容包括但不限于：</w:t>
      </w:r>
    </w:p>
    <w:p w14:paraId="628A210E">
      <w:pPr>
        <w:pStyle w:val="175"/>
        <w:numPr>
          <w:ilvl w:val="0"/>
          <w:numId w:val="37"/>
        </w:numPr>
      </w:pPr>
      <w:r>
        <w:rPr>
          <w:rFonts w:hint="eastAsia"/>
        </w:rPr>
        <w:t>针对主要负责人、高管、股东，培训关于商业秘密保护重要性、必要性、战略价值等内容；</w:t>
      </w:r>
    </w:p>
    <w:p w14:paraId="0E734FCC">
      <w:pPr>
        <w:pStyle w:val="175"/>
        <w:numPr>
          <w:ilvl w:val="0"/>
          <w:numId w:val="37"/>
        </w:numPr>
      </w:pPr>
      <w:r>
        <w:rPr>
          <w:rFonts w:hint="eastAsia"/>
        </w:rPr>
        <w:t>针对商业秘密管理人员，培训关于商业秘密保护实务和商业秘密案例等内容；</w:t>
      </w:r>
    </w:p>
    <w:p w14:paraId="5DB25957">
      <w:pPr>
        <w:pStyle w:val="175"/>
        <w:numPr>
          <w:ilvl w:val="0"/>
          <w:numId w:val="37"/>
        </w:numPr>
      </w:pPr>
      <w:r>
        <w:rPr>
          <w:rFonts w:hint="eastAsia"/>
        </w:rPr>
        <w:t>针对员工，培训商业秘密保护意识、法律知识、警示教育等内容。</w:t>
      </w:r>
    </w:p>
    <w:p w14:paraId="541E26A4">
      <w:pPr>
        <w:pStyle w:val="163"/>
      </w:pPr>
      <w:r>
        <w:rPr>
          <w:rFonts w:hint="eastAsia"/>
        </w:rPr>
        <w:t xml:space="preserve">维权服务站可举办如商业秘密保护的重大疑难问题法律适用等内容的研讨会。 </w:t>
      </w:r>
    </w:p>
    <w:p w14:paraId="331AFCA8">
      <w:pPr>
        <w:pStyle w:val="163"/>
      </w:pPr>
      <w:r>
        <w:rPr>
          <w:rFonts w:hint="eastAsia"/>
        </w:rPr>
        <w:t>维权服务站的培训活动包括以下工作流程：</w:t>
      </w:r>
    </w:p>
    <w:p w14:paraId="592D274A">
      <w:pPr>
        <w:pStyle w:val="175"/>
        <w:numPr>
          <w:ilvl w:val="0"/>
          <w:numId w:val="38"/>
        </w:numPr>
      </w:pPr>
      <w:r>
        <w:rPr>
          <w:rFonts w:hint="eastAsia"/>
        </w:rPr>
        <w:t xml:space="preserve">前期策划：确定培训主题、活动流程、参与人员及其他细节工作； </w:t>
      </w:r>
    </w:p>
    <w:p w14:paraId="3DCFFC62">
      <w:pPr>
        <w:pStyle w:val="175"/>
        <w:numPr>
          <w:ilvl w:val="0"/>
          <w:numId w:val="38"/>
        </w:numPr>
      </w:pPr>
      <w:r>
        <w:rPr>
          <w:rFonts w:hint="eastAsia"/>
        </w:rPr>
        <w:t>宣传邀请：通过线上、线下等方式宣传活动内容；</w:t>
      </w:r>
    </w:p>
    <w:p w14:paraId="0797AEF0">
      <w:pPr>
        <w:pStyle w:val="175"/>
        <w:numPr>
          <w:ilvl w:val="0"/>
          <w:numId w:val="38"/>
        </w:numPr>
      </w:pPr>
      <w:r>
        <w:rPr>
          <w:rFonts w:hint="eastAsia"/>
        </w:rPr>
        <w:t>培训实施：组织专家、代表以及相关人员按流程开展培训活动；</w:t>
      </w:r>
    </w:p>
    <w:p w14:paraId="0AA4502D">
      <w:pPr>
        <w:pStyle w:val="175"/>
        <w:numPr>
          <w:ilvl w:val="0"/>
          <w:numId w:val="38"/>
        </w:numPr>
      </w:pPr>
      <w:r>
        <w:rPr>
          <w:rFonts w:hint="eastAsia"/>
        </w:rPr>
        <w:t>培训总结：总结培训效果，制作、发布培训总结文章。</w:t>
      </w:r>
    </w:p>
    <w:bookmarkEnd w:id="94"/>
    <w:p w14:paraId="7320E840">
      <w:pPr>
        <w:pStyle w:val="105"/>
        <w:spacing w:before="240" w:after="240"/>
        <w:ind w:left="0"/>
        <w:rPr>
          <w:color w:val="000000" w:themeColor="text1"/>
          <w:szCs w:val="21"/>
          <w14:textFill>
            <w14:solidFill>
              <w14:schemeClr w14:val="tx1"/>
            </w14:solidFill>
          </w14:textFill>
        </w:rPr>
      </w:pPr>
      <w:bookmarkStart w:id="96" w:name="_Toc220675174"/>
      <w:r>
        <w:rPr>
          <w:rFonts w:hint="eastAsia"/>
          <w:color w:val="000000" w:themeColor="text1"/>
          <w:szCs w:val="21"/>
          <w14:textFill>
            <w14:solidFill>
              <w14:schemeClr w14:val="tx1"/>
            </w14:solidFill>
          </w14:textFill>
        </w:rPr>
        <w:t>商业秘密纠纷调解</w:t>
      </w:r>
      <w:bookmarkEnd w:id="96"/>
    </w:p>
    <w:p w14:paraId="79D026CB">
      <w:pPr>
        <w:pStyle w:val="163"/>
      </w:pPr>
      <w:r>
        <w:rPr>
          <w:rFonts w:hint="eastAsia"/>
        </w:rPr>
        <w:t>维权服务站可应需求提供商业秘密纠纷调解服务。</w:t>
      </w:r>
    </w:p>
    <w:p w14:paraId="47161139">
      <w:pPr>
        <w:pStyle w:val="163"/>
      </w:pPr>
      <w:r>
        <w:rPr>
          <w:rFonts w:hint="eastAsia"/>
        </w:rPr>
        <w:t>申请调解的材料包括：申请人相关证明材料、商业秘密权利证明材料、商业秘密侵权行为证明材料、申请书等。</w:t>
      </w:r>
    </w:p>
    <w:p w14:paraId="22DFAED1">
      <w:pPr>
        <w:pStyle w:val="163"/>
      </w:pPr>
      <w:r>
        <w:rPr>
          <w:rFonts w:hint="eastAsia"/>
        </w:rPr>
        <w:t>符合受理条件的申请，维权服务站应按下列规定及时建档受理：</w:t>
      </w:r>
    </w:p>
    <w:p w14:paraId="5E9F37D2">
      <w:pPr>
        <w:pStyle w:val="175"/>
        <w:numPr>
          <w:ilvl w:val="0"/>
          <w:numId w:val="39"/>
        </w:numPr>
      </w:pPr>
      <w:r>
        <w:rPr>
          <w:rFonts w:hint="eastAsia"/>
        </w:rPr>
        <w:t>受理后应了解并记录基本情况，为申请人对接被申请人，组织开展商业秘密侵权纠纷调解工作；</w:t>
      </w:r>
    </w:p>
    <w:p w14:paraId="46915B17">
      <w:pPr>
        <w:pStyle w:val="175"/>
        <w:numPr>
          <w:ilvl w:val="0"/>
          <w:numId w:val="39"/>
        </w:numPr>
      </w:pPr>
      <w:r>
        <w:rPr>
          <w:rFonts w:hint="eastAsia"/>
        </w:rPr>
        <w:t>不符合受理条件的，维权服务站应说明理由并退还全部材料。</w:t>
      </w:r>
    </w:p>
    <w:p w14:paraId="5461C856">
      <w:pPr>
        <w:pStyle w:val="105"/>
        <w:spacing w:before="240" w:after="240"/>
        <w:ind w:left="0"/>
        <w:rPr>
          <w:color w:val="000000" w:themeColor="text1"/>
          <w:szCs w:val="21"/>
          <w14:textFill>
            <w14:solidFill>
              <w14:schemeClr w14:val="tx1"/>
            </w14:solidFill>
          </w14:textFill>
        </w:rPr>
      </w:pPr>
      <w:bookmarkStart w:id="97" w:name="_Toc220675175"/>
      <w:r>
        <w:rPr>
          <w:rFonts w:hint="eastAsia"/>
          <w:color w:val="000000" w:themeColor="text1"/>
          <w:szCs w:val="21"/>
          <w14:textFill>
            <w14:solidFill>
              <w14:schemeClr w14:val="tx1"/>
            </w14:solidFill>
          </w14:textFill>
        </w:rPr>
        <w:t>管理组织</w:t>
      </w:r>
      <w:bookmarkEnd w:id="97"/>
    </w:p>
    <w:p w14:paraId="6EE1FE89">
      <w:pPr>
        <w:pStyle w:val="163"/>
      </w:pPr>
      <w:r>
        <w:rPr>
          <w:rFonts w:hint="eastAsia"/>
        </w:rPr>
        <w:t>维权服务站应建设专门服务队伍，根据调研、宣传、培训、辅导等分工设置职能部门或岗位，并配置专职服务人员。</w:t>
      </w:r>
    </w:p>
    <w:p w14:paraId="6A66FC6A">
      <w:pPr>
        <w:pStyle w:val="163"/>
      </w:pPr>
      <w:r>
        <w:rPr>
          <w:rFonts w:hint="eastAsia"/>
        </w:rPr>
        <w:t>维权服务站应制定组织架构、部门、岗位职责，以及组织工作机制的管理制度或规范文件。</w:t>
      </w:r>
    </w:p>
    <w:p w14:paraId="2F1B80FA">
      <w:pPr>
        <w:pStyle w:val="57"/>
        <w:ind w:firstLine="420"/>
        <w:rPr>
          <w:color w:val="000000" w:themeColor="text1"/>
          <w14:textFill>
            <w14:solidFill>
              <w14:schemeClr w14:val="tx1"/>
            </w14:solidFill>
          </w14:textFill>
        </w:rPr>
      </w:pPr>
    </w:p>
    <w:bookmarkEnd w:id="15"/>
    <w:bookmarkEnd w:id="95"/>
    <w:p w14:paraId="2D2BB32B">
      <w:pPr>
        <w:pStyle w:val="57"/>
        <w:ind w:firstLine="0" w:firstLineChars="0"/>
        <w:jc w:val="center"/>
        <w:rPr>
          <w:color w:val="000000" w:themeColor="text1"/>
          <w14:textFill>
            <w14:solidFill>
              <w14:schemeClr w14:val="tx1"/>
            </w14:solidFill>
          </w14:textFill>
        </w:rPr>
      </w:pPr>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D1B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DD8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35C8">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BEE7">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AF89C">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C95C">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95E3">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21F9">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3EC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7698">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3C75">
    <w:pPr>
      <w:pStyle w:val="62"/>
    </w:pPr>
    <w:r>
      <w:fldChar w:fldCharType="begin"/>
    </w:r>
    <w:r>
      <w:instrText xml:space="preserve"> STYLEREF  标准文件_文件编号  \* MERGEFORMAT </w:instrText>
    </w:r>
    <w:r>
      <w:fldChar w:fldCharType="separate"/>
    </w:r>
    <w:r>
      <w:t>T/FSDTA 005—2025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F7EC">
    <w:pPr>
      <w:pStyle w:val="63"/>
    </w:pPr>
    <w:r>
      <w:fldChar w:fldCharType="begin"/>
    </w:r>
    <w:r>
      <w:instrText xml:space="preserve"> STYLEREF  标准文件_文件编号 \* MERGEFORMAT </w:instrText>
    </w:r>
    <w:r>
      <w:fldChar w:fldCharType="separate"/>
    </w:r>
    <w:r>
      <w:t>T/FSDTA 005—2025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A851">
    <w:pPr>
      <w:pStyle w:val="62"/>
    </w:pPr>
    <w:r>
      <w:fldChar w:fldCharType="begin"/>
    </w:r>
    <w:r>
      <w:instrText xml:space="preserve"> STYLEREF  标准文件_文件编号  \* MERGEFORMAT </w:instrText>
    </w:r>
    <w:r>
      <w:fldChar w:fldCharType="separate"/>
    </w:r>
    <w:r>
      <w:t>T/FSDTA 005—2025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FA57">
    <w:pPr>
      <w:pStyle w:val="63"/>
    </w:pPr>
    <w:r>
      <w:fldChar w:fldCharType="begin"/>
    </w:r>
    <w:r>
      <w:instrText xml:space="preserve"> STYLEREF  标准文件_文件编号 \* MERGEFORMAT </w:instrText>
    </w:r>
    <w:r>
      <w:fldChar w:fldCharType="separate"/>
    </w:r>
    <w:r>
      <w:t>T/FSDTA 005—2025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71D2">
    <w:pPr>
      <w:pStyle w:val="62"/>
    </w:pPr>
    <w:r>
      <w:fldChar w:fldCharType="begin"/>
    </w:r>
    <w:r>
      <w:instrText xml:space="preserve"> STYLEREF  标准文件_文件编号  \* MERGEFORMAT </w:instrText>
    </w:r>
    <w:r>
      <w:fldChar w:fldCharType="separate"/>
    </w:r>
    <w:r>
      <w:t>T/FSDTA 005—2025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A6F7">
    <w:pPr>
      <w:pStyle w:val="63"/>
    </w:pPr>
    <w:r>
      <w:fldChar w:fldCharType="begin"/>
    </w:r>
    <w:r>
      <w:instrText xml:space="preserve"> STYLEREF  标准文件_文件编号 \* MERGEFORMAT </w:instrText>
    </w:r>
    <w:r>
      <w:fldChar w:fldCharType="separate"/>
    </w:r>
    <w:r>
      <w:t>T/FSDTA 005—2025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993"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pStyle w:val="243"/>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2127"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277"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YzZkZmM1MGU0ZmMzMThhYjFhODUyM2Y5ZDNlNzcifQ=="/>
  </w:docVars>
  <w:rsids>
    <w:rsidRoot w:val="000C70C0"/>
    <w:rsid w:val="0000040A"/>
    <w:rsid w:val="00000A94"/>
    <w:rsid w:val="00001972"/>
    <w:rsid w:val="00001D9A"/>
    <w:rsid w:val="00004C94"/>
    <w:rsid w:val="00007B3A"/>
    <w:rsid w:val="000107E0"/>
    <w:rsid w:val="00010B44"/>
    <w:rsid w:val="00011FDE"/>
    <w:rsid w:val="00012FFD"/>
    <w:rsid w:val="00014162"/>
    <w:rsid w:val="00014340"/>
    <w:rsid w:val="000156A5"/>
    <w:rsid w:val="00016A9C"/>
    <w:rsid w:val="000203CE"/>
    <w:rsid w:val="00020522"/>
    <w:rsid w:val="000211DE"/>
    <w:rsid w:val="00021860"/>
    <w:rsid w:val="00022184"/>
    <w:rsid w:val="0002266B"/>
    <w:rsid w:val="00022762"/>
    <w:rsid w:val="000238E0"/>
    <w:rsid w:val="000249DB"/>
    <w:rsid w:val="00024F00"/>
    <w:rsid w:val="0002595E"/>
    <w:rsid w:val="00025AC0"/>
    <w:rsid w:val="000303C3"/>
    <w:rsid w:val="0003242C"/>
    <w:rsid w:val="00032A0A"/>
    <w:rsid w:val="000331D3"/>
    <w:rsid w:val="00034344"/>
    <w:rsid w:val="000346A5"/>
    <w:rsid w:val="000359C3"/>
    <w:rsid w:val="00035A7D"/>
    <w:rsid w:val="000365ED"/>
    <w:rsid w:val="0004249A"/>
    <w:rsid w:val="00043282"/>
    <w:rsid w:val="00043EDA"/>
    <w:rsid w:val="00044286"/>
    <w:rsid w:val="000461F8"/>
    <w:rsid w:val="00047F28"/>
    <w:rsid w:val="000503AA"/>
    <w:rsid w:val="000506A1"/>
    <w:rsid w:val="000515DD"/>
    <w:rsid w:val="0005265A"/>
    <w:rsid w:val="000539DD"/>
    <w:rsid w:val="00053BD3"/>
    <w:rsid w:val="0005406A"/>
    <w:rsid w:val="000556ED"/>
    <w:rsid w:val="00055FE2"/>
    <w:rsid w:val="0005616F"/>
    <w:rsid w:val="00056F89"/>
    <w:rsid w:val="000578D7"/>
    <w:rsid w:val="00060C2E"/>
    <w:rsid w:val="00061033"/>
    <w:rsid w:val="000619E9"/>
    <w:rsid w:val="000622D4"/>
    <w:rsid w:val="0006357D"/>
    <w:rsid w:val="00065BAF"/>
    <w:rsid w:val="00067DD7"/>
    <w:rsid w:val="00067F1E"/>
    <w:rsid w:val="00071CC0"/>
    <w:rsid w:val="00071CFC"/>
    <w:rsid w:val="000727CB"/>
    <w:rsid w:val="00073C8C"/>
    <w:rsid w:val="00075132"/>
    <w:rsid w:val="00075815"/>
    <w:rsid w:val="00077B64"/>
    <w:rsid w:val="00077EED"/>
    <w:rsid w:val="00080A1C"/>
    <w:rsid w:val="00082317"/>
    <w:rsid w:val="00083D2C"/>
    <w:rsid w:val="00086AA1"/>
    <w:rsid w:val="00087A77"/>
    <w:rsid w:val="00090CA6"/>
    <w:rsid w:val="00090F27"/>
    <w:rsid w:val="00092B8A"/>
    <w:rsid w:val="00092FB0"/>
    <w:rsid w:val="000934C5"/>
    <w:rsid w:val="00093D25"/>
    <w:rsid w:val="00093DAB"/>
    <w:rsid w:val="00094D73"/>
    <w:rsid w:val="00096D63"/>
    <w:rsid w:val="000A07E7"/>
    <w:rsid w:val="000A0B60"/>
    <w:rsid w:val="000A0DAA"/>
    <w:rsid w:val="000A0EB8"/>
    <w:rsid w:val="000A19FC"/>
    <w:rsid w:val="000A296B"/>
    <w:rsid w:val="000A3498"/>
    <w:rsid w:val="000A7311"/>
    <w:rsid w:val="000B060F"/>
    <w:rsid w:val="000B1592"/>
    <w:rsid w:val="000B1FF2"/>
    <w:rsid w:val="000B3CDA"/>
    <w:rsid w:val="000B41C1"/>
    <w:rsid w:val="000B4B20"/>
    <w:rsid w:val="000B6A0B"/>
    <w:rsid w:val="000C0F6C"/>
    <w:rsid w:val="000C11DB"/>
    <w:rsid w:val="000C1492"/>
    <w:rsid w:val="000C2FBD"/>
    <w:rsid w:val="000C4B41"/>
    <w:rsid w:val="000C57D6"/>
    <w:rsid w:val="000C6362"/>
    <w:rsid w:val="000C6D5F"/>
    <w:rsid w:val="000C70C0"/>
    <w:rsid w:val="000C7666"/>
    <w:rsid w:val="000D0A9C"/>
    <w:rsid w:val="000D1795"/>
    <w:rsid w:val="000D329A"/>
    <w:rsid w:val="000D3658"/>
    <w:rsid w:val="000D4338"/>
    <w:rsid w:val="000D4B9C"/>
    <w:rsid w:val="000D4EB6"/>
    <w:rsid w:val="000D753B"/>
    <w:rsid w:val="000E0389"/>
    <w:rsid w:val="000E22D4"/>
    <w:rsid w:val="000E25FA"/>
    <w:rsid w:val="000E4C9E"/>
    <w:rsid w:val="000E53B8"/>
    <w:rsid w:val="000E6FD7"/>
    <w:rsid w:val="000E7144"/>
    <w:rsid w:val="000E7753"/>
    <w:rsid w:val="000E7BAD"/>
    <w:rsid w:val="000F06E1"/>
    <w:rsid w:val="000F0C3E"/>
    <w:rsid w:val="000F0E3C"/>
    <w:rsid w:val="000F19D5"/>
    <w:rsid w:val="000F1EFD"/>
    <w:rsid w:val="000F4050"/>
    <w:rsid w:val="000F4135"/>
    <w:rsid w:val="000F4AEA"/>
    <w:rsid w:val="000F4BC6"/>
    <w:rsid w:val="000F4FB1"/>
    <w:rsid w:val="000F6618"/>
    <w:rsid w:val="000F67E9"/>
    <w:rsid w:val="000F6AE3"/>
    <w:rsid w:val="00100868"/>
    <w:rsid w:val="00100949"/>
    <w:rsid w:val="00102ACE"/>
    <w:rsid w:val="00104926"/>
    <w:rsid w:val="0010505F"/>
    <w:rsid w:val="00105767"/>
    <w:rsid w:val="00106566"/>
    <w:rsid w:val="00111D99"/>
    <w:rsid w:val="00113B1E"/>
    <w:rsid w:val="00115F8B"/>
    <w:rsid w:val="0011711C"/>
    <w:rsid w:val="0012086C"/>
    <w:rsid w:val="00123E9A"/>
    <w:rsid w:val="00124E4F"/>
    <w:rsid w:val="001260B7"/>
    <w:rsid w:val="001265CB"/>
    <w:rsid w:val="001321C6"/>
    <w:rsid w:val="001325C4"/>
    <w:rsid w:val="00133010"/>
    <w:rsid w:val="001338EE"/>
    <w:rsid w:val="00133AAE"/>
    <w:rsid w:val="00133AC6"/>
    <w:rsid w:val="00135323"/>
    <w:rsid w:val="001356C4"/>
    <w:rsid w:val="001374EB"/>
    <w:rsid w:val="00137565"/>
    <w:rsid w:val="00141114"/>
    <w:rsid w:val="00142969"/>
    <w:rsid w:val="001446C2"/>
    <w:rsid w:val="001457E7"/>
    <w:rsid w:val="00145D9D"/>
    <w:rsid w:val="00146388"/>
    <w:rsid w:val="001529E5"/>
    <w:rsid w:val="00152F71"/>
    <w:rsid w:val="00152FB3"/>
    <w:rsid w:val="00153C7E"/>
    <w:rsid w:val="001545A9"/>
    <w:rsid w:val="0015578F"/>
    <w:rsid w:val="00156B25"/>
    <w:rsid w:val="00156E1A"/>
    <w:rsid w:val="00157894"/>
    <w:rsid w:val="00157B55"/>
    <w:rsid w:val="001617EA"/>
    <w:rsid w:val="00163D4D"/>
    <w:rsid w:val="001642FA"/>
    <w:rsid w:val="001649EB"/>
    <w:rsid w:val="00164BAF"/>
    <w:rsid w:val="00164FA8"/>
    <w:rsid w:val="00165065"/>
    <w:rsid w:val="00165434"/>
    <w:rsid w:val="0016580B"/>
    <w:rsid w:val="00165CE9"/>
    <w:rsid w:val="00165F49"/>
    <w:rsid w:val="00166B88"/>
    <w:rsid w:val="001676B6"/>
    <w:rsid w:val="0016770A"/>
    <w:rsid w:val="00167F9F"/>
    <w:rsid w:val="00170804"/>
    <w:rsid w:val="001708E9"/>
    <w:rsid w:val="0017340B"/>
    <w:rsid w:val="00173FB1"/>
    <w:rsid w:val="00175280"/>
    <w:rsid w:val="00176DFD"/>
    <w:rsid w:val="00177C20"/>
    <w:rsid w:val="00181297"/>
    <w:rsid w:val="00183524"/>
    <w:rsid w:val="00184F51"/>
    <w:rsid w:val="001852C9"/>
    <w:rsid w:val="00187A0B"/>
    <w:rsid w:val="00190087"/>
    <w:rsid w:val="00190B89"/>
    <w:rsid w:val="001913C4"/>
    <w:rsid w:val="001921FC"/>
    <w:rsid w:val="0019348F"/>
    <w:rsid w:val="00193A07"/>
    <w:rsid w:val="00194172"/>
    <w:rsid w:val="00194C95"/>
    <w:rsid w:val="00195C34"/>
    <w:rsid w:val="00196EF5"/>
    <w:rsid w:val="00197EBB"/>
    <w:rsid w:val="001A1A53"/>
    <w:rsid w:val="001A234A"/>
    <w:rsid w:val="001A3070"/>
    <w:rsid w:val="001A43A3"/>
    <w:rsid w:val="001A4CF3"/>
    <w:rsid w:val="001A6696"/>
    <w:rsid w:val="001B0267"/>
    <w:rsid w:val="001B06E8"/>
    <w:rsid w:val="001B26C3"/>
    <w:rsid w:val="001B71D0"/>
    <w:rsid w:val="001B71EE"/>
    <w:rsid w:val="001B7F95"/>
    <w:rsid w:val="001C0120"/>
    <w:rsid w:val="001C04A8"/>
    <w:rsid w:val="001C0E21"/>
    <w:rsid w:val="001C0EA6"/>
    <w:rsid w:val="001C2C03"/>
    <w:rsid w:val="001C42F7"/>
    <w:rsid w:val="001C45E3"/>
    <w:rsid w:val="001C49E5"/>
    <w:rsid w:val="001C5082"/>
    <w:rsid w:val="001C680C"/>
    <w:rsid w:val="001C7FEA"/>
    <w:rsid w:val="001D0499"/>
    <w:rsid w:val="001D0BBE"/>
    <w:rsid w:val="001D0ED4"/>
    <w:rsid w:val="001D1E26"/>
    <w:rsid w:val="001D212F"/>
    <w:rsid w:val="001D29D7"/>
    <w:rsid w:val="001D2DE7"/>
    <w:rsid w:val="001D389F"/>
    <w:rsid w:val="001D3AE2"/>
    <w:rsid w:val="001D411C"/>
    <w:rsid w:val="001E04F3"/>
    <w:rsid w:val="001E0A1B"/>
    <w:rsid w:val="001E1B6A"/>
    <w:rsid w:val="001E2484"/>
    <w:rsid w:val="001E355D"/>
    <w:rsid w:val="001E3853"/>
    <w:rsid w:val="001E3CC4"/>
    <w:rsid w:val="001E4882"/>
    <w:rsid w:val="001E6BA3"/>
    <w:rsid w:val="001E73AB"/>
    <w:rsid w:val="001F092D"/>
    <w:rsid w:val="001F143A"/>
    <w:rsid w:val="001F1605"/>
    <w:rsid w:val="001F2508"/>
    <w:rsid w:val="001F4816"/>
    <w:rsid w:val="001F69B4"/>
    <w:rsid w:val="001F77C7"/>
    <w:rsid w:val="00200183"/>
    <w:rsid w:val="00200333"/>
    <w:rsid w:val="00200F41"/>
    <w:rsid w:val="0020107D"/>
    <w:rsid w:val="00202AA4"/>
    <w:rsid w:val="002031F7"/>
    <w:rsid w:val="002040E6"/>
    <w:rsid w:val="0020527B"/>
    <w:rsid w:val="00205F2C"/>
    <w:rsid w:val="00210B15"/>
    <w:rsid w:val="00211E5C"/>
    <w:rsid w:val="00211FC8"/>
    <w:rsid w:val="0021270D"/>
    <w:rsid w:val="002142EA"/>
    <w:rsid w:val="00215ADD"/>
    <w:rsid w:val="00216C28"/>
    <w:rsid w:val="002204BB"/>
    <w:rsid w:val="00221B79"/>
    <w:rsid w:val="00221C6B"/>
    <w:rsid w:val="00223986"/>
    <w:rsid w:val="002253A1"/>
    <w:rsid w:val="00225CF8"/>
    <w:rsid w:val="0022794E"/>
    <w:rsid w:val="00231022"/>
    <w:rsid w:val="00232BEF"/>
    <w:rsid w:val="002338F2"/>
    <w:rsid w:val="00233D64"/>
    <w:rsid w:val="0023482A"/>
    <w:rsid w:val="002359CB"/>
    <w:rsid w:val="00236194"/>
    <w:rsid w:val="002361A9"/>
    <w:rsid w:val="00236D1A"/>
    <w:rsid w:val="002403FE"/>
    <w:rsid w:val="00243540"/>
    <w:rsid w:val="0024497B"/>
    <w:rsid w:val="0024515B"/>
    <w:rsid w:val="00246021"/>
    <w:rsid w:val="0024666E"/>
    <w:rsid w:val="00247F52"/>
    <w:rsid w:val="00250B25"/>
    <w:rsid w:val="00250BBE"/>
    <w:rsid w:val="002515C2"/>
    <w:rsid w:val="0025166E"/>
    <w:rsid w:val="002517CE"/>
    <w:rsid w:val="0025194F"/>
    <w:rsid w:val="002603F9"/>
    <w:rsid w:val="0026148A"/>
    <w:rsid w:val="00262696"/>
    <w:rsid w:val="00263762"/>
    <w:rsid w:val="00263D25"/>
    <w:rsid w:val="002643C3"/>
    <w:rsid w:val="00264A0C"/>
    <w:rsid w:val="0026531B"/>
    <w:rsid w:val="00266311"/>
    <w:rsid w:val="002664B4"/>
    <w:rsid w:val="00266EEB"/>
    <w:rsid w:val="00267530"/>
    <w:rsid w:val="00267EF4"/>
    <w:rsid w:val="00270CB8"/>
    <w:rsid w:val="00270CC0"/>
    <w:rsid w:val="00271479"/>
    <w:rsid w:val="0027244A"/>
    <w:rsid w:val="00272B08"/>
    <w:rsid w:val="00273B3B"/>
    <w:rsid w:val="00275485"/>
    <w:rsid w:val="002772B5"/>
    <w:rsid w:val="00277C0D"/>
    <w:rsid w:val="00281BB8"/>
    <w:rsid w:val="00281E9E"/>
    <w:rsid w:val="00282405"/>
    <w:rsid w:val="00285170"/>
    <w:rsid w:val="00285361"/>
    <w:rsid w:val="0028644A"/>
    <w:rsid w:val="00291735"/>
    <w:rsid w:val="00292D60"/>
    <w:rsid w:val="00293B30"/>
    <w:rsid w:val="00294D34"/>
    <w:rsid w:val="00294E3B"/>
    <w:rsid w:val="00295C2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49"/>
    <w:rsid w:val="002A7F44"/>
    <w:rsid w:val="002B0C40"/>
    <w:rsid w:val="002B1966"/>
    <w:rsid w:val="002B1EF2"/>
    <w:rsid w:val="002B4432"/>
    <w:rsid w:val="002B4508"/>
    <w:rsid w:val="002B4589"/>
    <w:rsid w:val="002B5779"/>
    <w:rsid w:val="002B7332"/>
    <w:rsid w:val="002B7F51"/>
    <w:rsid w:val="002C09E7"/>
    <w:rsid w:val="002C1E06"/>
    <w:rsid w:val="002C3F07"/>
    <w:rsid w:val="002C5278"/>
    <w:rsid w:val="002C7E9C"/>
    <w:rsid w:val="002C7EBB"/>
    <w:rsid w:val="002D06C1"/>
    <w:rsid w:val="002D3B8F"/>
    <w:rsid w:val="002D42B5"/>
    <w:rsid w:val="002D4F1A"/>
    <w:rsid w:val="002D59FE"/>
    <w:rsid w:val="002D6EC6"/>
    <w:rsid w:val="002D79AC"/>
    <w:rsid w:val="002E039D"/>
    <w:rsid w:val="002E11DD"/>
    <w:rsid w:val="002E25C2"/>
    <w:rsid w:val="002E4D5A"/>
    <w:rsid w:val="002E55B6"/>
    <w:rsid w:val="002E6326"/>
    <w:rsid w:val="002E72E1"/>
    <w:rsid w:val="002F30E0"/>
    <w:rsid w:val="002F35E4"/>
    <w:rsid w:val="002F3730"/>
    <w:rsid w:val="002F38E1"/>
    <w:rsid w:val="002F5ABA"/>
    <w:rsid w:val="002F7AF6"/>
    <w:rsid w:val="003009AB"/>
    <w:rsid w:val="00300E63"/>
    <w:rsid w:val="00301E27"/>
    <w:rsid w:val="00302F5F"/>
    <w:rsid w:val="0030441D"/>
    <w:rsid w:val="00306063"/>
    <w:rsid w:val="00306D04"/>
    <w:rsid w:val="003074F0"/>
    <w:rsid w:val="00313B85"/>
    <w:rsid w:val="0031744B"/>
    <w:rsid w:val="00317988"/>
    <w:rsid w:val="003221B4"/>
    <w:rsid w:val="0032258D"/>
    <w:rsid w:val="00322E62"/>
    <w:rsid w:val="00324483"/>
    <w:rsid w:val="00324D13"/>
    <w:rsid w:val="00324EDD"/>
    <w:rsid w:val="003304F2"/>
    <w:rsid w:val="00332F83"/>
    <w:rsid w:val="003331E4"/>
    <w:rsid w:val="00333F93"/>
    <w:rsid w:val="00336C64"/>
    <w:rsid w:val="00337162"/>
    <w:rsid w:val="00337E9F"/>
    <w:rsid w:val="0034194F"/>
    <w:rsid w:val="00344605"/>
    <w:rsid w:val="00347302"/>
    <w:rsid w:val="003474AA"/>
    <w:rsid w:val="00350D1D"/>
    <w:rsid w:val="00350DF9"/>
    <w:rsid w:val="0035145A"/>
    <w:rsid w:val="00352C83"/>
    <w:rsid w:val="00352F1A"/>
    <w:rsid w:val="0035302A"/>
    <w:rsid w:val="003534C7"/>
    <w:rsid w:val="003544F9"/>
    <w:rsid w:val="0035723D"/>
    <w:rsid w:val="0036107C"/>
    <w:rsid w:val="003615D2"/>
    <w:rsid w:val="00361B42"/>
    <w:rsid w:val="0036236F"/>
    <w:rsid w:val="003635A4"/>
    <w:rsid w:val="00363A9E"/>
    <w:rsid w:val="0036429C"/>
    <w:rsid w:val="00364A53"/>
    <w:rsid w:val="003654CB"/>
    <w:rsid w:val="00365AA9"/>
    <w:rsid w:val="00365F86"/>
    <w:rsid w:val="00365F87"/>
    <w:rsid w:val="00366E89"/>
    <w:rsid w:val="003705F4"/>
    <w:rsid w:val="0037061A"/>
    <w:rsid w:val="00370D58"/>
    <w:rsid w:val="00371316"/>
    <w:rsid w:val="0037382A"/>
    <w:rsid w:val="003743B1"/>
    <w:rsid w:val="003746EA"/>
    <w:rsid w:val="00375946"/>
    <w:rsid w:val="00375BC0"/>
    <w:rsid w:val="00376713"/>
    <w:rsid w:val="00376790"/>
    <w:rsid w:val="003779A7"/>
    <w:rsid w:val="00380DF2"/>
    <w:rsid w:val="0038120E"/>
    <w:rsid w:val="00381815"/>
    <w:rsid w:val="003819AF"/>
    <w:rsid w:val="00381C1F"/>
    <w:rsid w:val="003820E9"/>
    <w:rsid w:val="00382DE7"/>
    <w:rsid w:val="00382EAC"/>
    <w:rsid w:val="003831F9"/>
    <w:rsid w:val="003843E9"/>
    <w:rsid w:val="00384FFC"/>
    <w:rsid w:val="00385958"/>
    <w:rsid w:val="003872FC"/>
    <w:rsid w:val="00387ADC"/>
    <w:rsid w:val="00390020"/>
    <w:rsid w:val="003903D6"/>
    <w:rsid w:val="00390EE6"/>
    <w:rsid w:val="0039118F"/>
    <w:rsid w:val="00392AD7"/>
    <w:rsid w:val="003938D9"/>
    <w:rsid w:val="00394376"/>
    <w:rsid w:val="003943FF"/>
    <w:rsid w:val="00395DC7"/>
    <w:rsid w:val="003974EB"/>
    <w:rsid w:val="00397784"/>
    <w:rsid w:val="00397CC5"/>
    <w:rsid w:val="003A11D1"/>
    <w:rsid w:val="003A1582"/>
    <w:rsid w:val="003A35B2"/>
    <w:rsid w:val="003A3D9C"/>
    <w:rsid w:val="003A4077"/>
    <w:rsid w:val="003A4AA7"/>
    <w:rsid w:val="003A4BE3"/>
    <w:rsid w:val="003A70E8"/>
    <w:rsid w:val="003B09AD"/>
    <w:rsid w:val="003B1B16"/>
    <w:rsid w:val="003B1E0D"/>
    <w:rsid w:val="003B1F18"/>
    <w:rsid w:val="003B2888"/>
    <w:rsid w:val="003B2EC2"/>
    <w:rsid w:val="003B521B"/>
    <w:rsid w:val="003B5BF0"/>
    <w:rsid w:val="003B5EC9"/>
    <w:rsid w:val="003B60BF"/>
    <w:rsid w:val="003B6BE3"/>
    <w:rsid w:val="003C010C"/>
    <w:rsid w:val="003C0A6C"/>
    <w:rsid w:val="003C14F8"/>
    <w:rsid w:val="003C3BD9"/>
    <w:rsid w:val="003C42F0"/>
    <w:rsid w:val="003C5539"/>
    <w:rsid w:val="003C5A43"/>
    <w:rsid w:val="003C769F"/>
    <w:rsid w:val="003D0210"/>
    <w:rsid w:val="003D0519"/>
    <w:rsid w:val="003D0FF6"/>
    <w:rsid w:val="003D262C"/>
    <w:rsid w:val="003D4C46"/>
    <w:rsid w:val="003D58C3"/>
    <w:rsid w:val="003D6D61"/>
    <w:rsid w:val="003E019F"/>
    <w:rsid w:val="003E091D"/>
    <w:rsid w:val="003E1C53"/>
    <w:rsid w:val="003E2A69"/>
    <w:rsid w:val="003E2D49"/>
    <w:rsid w:val="003E2FD4"/>
    <w:rsid w:val="003E33B8"/>
    <w:rsid w:val="003E49F6"/>
    <w:rsid w:val="003E5ED3"/>
    <w:rsid w:val="003E660F"/>
    <w:rsid w:val="003E78DF"/>
    <w:rsid w:val="003F001C"/>
    <w:rsid w:val="003F0841"/>
    <w:rsid w:val="003F23D3"/>
    <w:rsid w:val="003F307A"/>
    <w:rsid w:val="003F3F08"/>
    <w:rsid w:val="003F49F1"/>
    <w:rsid w:val="003F5B52"/>
    <w:rsid w:val="003F6272"/>
    <w:rsid w:val="00400E72"/>
    <w:rsid w:val="00401187"/>
    <w:rsid w:val="00401400"/>
    <w:rsid w:val="00401572"/>
    <w:rsid w:val="00404742"/>
    <w:rsid w:val="00404869"/>
    <w:rsid w:val="00405884"/>
    <w:rsid w:val="0040654C"/>
    <w:rsid w:val="00407019"/>
    <w:rsid w:val="0040787A"/>
    <w:rsid w:val="00407D39"/>
    <w:rsid w:val="00410E46"/>
    <w:rsid w:val="004137D5"/>
    <w:rsid w:val="00413E74"/>
    <w:rsid w:val="00414417"/>
    <w:rsid w:val="0041477A"/>
    <w:rsid w:val="00415F71"/>
    <w:rsid w:val="00416502"/>
    <w:rsid w:val="004167A3"/>
    <w:rsid w:val="004167CB"/>
    <w:rsid w:val="004173FA"/>
    <w:rsid w:val="00425ADA"/>
    <w:rsid w:val="0042792F"/>
    <w:rsid w:val="00432DAA"/>
    <w:rsid w:val="00434305"/>
    <w:rsid w:val="00434BE4"/>
    <w:rsid w:val="00435DF7"/>
    <w:rsid w:val="004402E7"/>
    <w:rsid w:val="0044083F"/>
    <w:rsid w:val="00441705"/>
    <w:rsid w:val="00441AE7"/>
    <w:rsid w:val="00445574"/>
    <w:rsid w:val="004467FB"/>
    <w:rsid w:val="00446B5E"/>
    <w:rsid w:val="0045237E"/>
    <w:rsid w:val="00452D6B"/>
    <w:rsid w:val="00454484"/>
    <w:rsid w:val="00454A8A"/>
    <w:rsid w:val="0045517B"/>
    <w:rsid w:val="00456535"/>
    <w:rsid w:val="00462E6D"/>
    <w:rsid w:val="00463B77"/>
    <w:rsid w:val="00463C7B"/>
    <w:rsid w:val="004644A4"/>
    <w:rsid w:val="004644A6"/>
    <w:rsid w:val="004659BD"/>
    <w:rsid w:val="00470775"/>
    <w:rsid w:val="00471614"/>
    <w:rsid w:val="0047407C"/>
    <w:rsid w:val="004746B1"/>
    <w:rsid w:val="0047583F"/>
    <w:rsid w:val="00475DE4"/>
    <w:rsid w:val="00475DE8"/>
    <w:rsid w:val="00481135"/>
    <w:rsid w:val="00481C44"/>
    <w:rsid w:val="00484936"/>
    <w:rsid w:val="00484DDC"/>
    <w:rsid w:val="00485C89"/>
    <w:rsid w:val="00486BE3"/>
    <w:rsid w:val="00486CCF"/>
    <w:rsid w:val="0049011C"/>
    <w:rsid w:val="004905E4"/>
    <w:rsid w:val="00490A89"/>
    <w:rsid w:val="00490AB4"/>
    <w:rsid w:val="00492F02"/>
    <w:rsid w:val="004939AE"/>
    <w:rsid w:val="00495A5C"/>
    <w:rsid w:val="00496CC8"/>
    <w:rsid w:val="004A01EA"/>
    <w:rsid w:val="004A06A5"/>
    <w:rsid w:val="004A12DF"/>
    <w:rsid w:val="004A1A67"/>
    <w:rsid w:val="004A1BA8"/>
    <w:rsid w:val="004A4B57"/>
    <w:rsid w:val="004A63FA"/>
    <w:rsid w:val="004A6A3D"/>
    <w:rsid w:val="004A6CDB"/>
    <w:rsid w:val="004B0272"/>
    <w:rsid w:val="004B204A"/>
    <w:rsid w:val="004B2701"/>
    <w:rsid w:val="004B2E1B"/>
    <w:rsid w:val="004B3AA8"/>
    <w:rsid w:val="004B3E93"/>
    <w:rsid w:val="004B5671"/>
    <w:rsid w:val="004B7F7A"/>
    <w:rsid w:val="004C1C4E"/>
    <w:rsid w:val="004C1FBC"/>
    <w:rsid w:val="004C25A2"/>
    <w:rsid w:val="004C2DF8"/>
    <w:rsid w:val="004C3F1D"/>
    <w:rsid w:val="004C4039"/>
    <w:rsid w:val="004C458D"/>
    <w:rsid w:val="004C67AE"/>
    <w:rsid w:val="004C68B4"/>
    <w:rsid w:val="004C6B95"/>
    <w:rsid w:val="004C7556"/>
    <w:rsid w:val="004C7E8B"/>
    <w:rsid w:val="004C7E9D"/>
    <w:rsid w:val="004C7F67"/>
    <w:rsid w:val="004D076D"/>
    <w:rsid w:val="004D0EF1"/>
    <w:rsid w:val="004D2253"/>
    <w:rsid w:val="004D4406"/>
    <w:rsid w:val="004D46A7"/>
    <w:rsid w:val="004D4FB8"/>
    <w:rsid w:val="004D7C42"/>
    <w:rsid w:val="004E0465"/>
    <w:rsid w:val="004E127B"/>
    <w:rsid w:val="004E1C0A"/>
    <w:rsid w:val="004E1E23"/>
    <w:rsid w:val="004E30C5"/>
    <w:rsid w:val="004E399B"/>
    <w:rsid w:val="004E3A25"/>
    <w:rsid w:val="004E3B8B"/>
    <w:rsid w:val="004E4AA5"/>
    <w:rsid w:val="004E4AEE"/>
    <w:rsid w:val="004E554E"/>
    <w:rsid w:val="004E59E3"/>
    <w:rsid w:val="004E67C0"/>
    <w:rsid w:val="004F2C6E"/>
    <w:rsid w:val="004F391A"/>
    <w:rsid w:val="004F3CFB"/>
    <w:rsid w:val="004F6456"/>
    <w:rsid w:val="004F696E"/>
    <w:rsid w:val="004F6C71"/>
    <w:rsid w:val="004F7151"/>
    <w:rsid w:val="00501139"/>
    <w:rsid w:val="0050363E"/>
    <w:rsid w:val="005039BC"/>
    <w:rsid w:val="005043BB"/>
    <w:rsid w:val="00504A3D"/>
    <w:rsid w:val="00505767"/>
    <w:rsid w:val="005073F0"/>
    <w:rsid w:val="00510A7B"/>
    <w:rsid w:val="0051120E"/>
    <w:rsid w:val="00512F6E"/>
    <w:rsid w:val="00513038"/>
    <w:rsid w:val="00514174"/>
    <w:rsid w:val="005159A5"/>
    <w:rsid w:val="00516088"/>
    <w:rsid w:val="0051659B"/>
    <w:rsid w:val="00516B0B"/>
    <w:rsid w:val="0051767E"/>
    <w:rsid w:val="00521C7F"/>
    <w:rsid w:val="005220EC"/>
    <w:rsid w:val="00523F95"/>
    <w:rsid w:val="00524D65"/>
    <w:rsid w:val="00525B16"/>
    <w:rsid w:val="005312A9"/>
    <w:rsid w:val="00533D04"/>
    <w:rsid w:val="005346FF"/>
    <w:rsid w:val="00534804"/>
    <w:rsid w:val="00534908"/>
    <w:rsid w:val="00534BDF"/>
    <w:rsid w:val="005354EA"/>
    <w:rsid w:val="0053585F"/>
    <w:rsid w:val="00535EC4"/>
    <w:rsid w:val="00535ED9"/>
    <w:rsid w:val="0053692B"/>
    <w:rsid w:val="00541853"/>
    <w:rsid w:val="00543859"/>
    <w:rsid w:val="00543BDA"/>
    <w:rsid w:val="005441CC"/>
    <w:rsid w:val="005479DA"/>
    <w:rsid w:val="00547BCC"/>
    <w:rsid w:val="0055013B"/>
    <w:rsid w:val="00551F6F"/>
    <w:rsid w:val="00554A2E"/>
    <w:rsid w:val="00554EA5"/>
    <w:rsid w:val="00555044"/>
    <w:rsid w:val="00561475"/>
    <w:rsid w:val="00562308"/>
    <w:rsid w:val="005642AA"/>
    <w:rsid w:val="0056487B"/>
    <w:rsid w:val="00564FB9"/>
    <w:rsid w:val="00565F48"/>
    <w:rsid w:val="005667BF"/>
    <w:rsid w:val="00566A44"/>
    <w:rsid w:val="00570834"/>
    <w:rsid w:val="005736AE"/>
    <w:rsid w:val="00573D9E"/>
    <w:rsid w:val="00575DFB"/>
    <w:rsid w:val="005801E3"/>
    <w:rsid w:val="00581802"/>
    <w:rsid w:val="0058323A"/>
    <w:rsid w:val="005836A8"/>
    <w:rsid w:val="00583A1F"/>
    <w:rsid w:val="0058409C"/>
    <w:rsid w:val="00584262"/>
    <w:rsid w:val="00585EC9"/>
    <w:rsid w:val="00586630"/>
    <w:rsid w:val="00587ADD"/>
    <w:rsid w:val="0059303C"/>
    <w:rsid w:val="00593A49"/>
    <w:rsid w:val="005943DA"/>
    <w:rsid w:val="00596160"/>
    <w:rsid w:val="005964EB"/>
    <w:rsid w:val="005966E2"/>
    <w:rsid w:val="00597007"/>
    <w:rsid w:val="005A0881"/>
    <w:rsid w:val="005A0966"/>
    <w:rsid w:val="005A11B7"/>
    <w:rsid w:val="005A1B20"/>
    <w:rsid w:val="005A260B"/>
    <w:rsid w:val="005A4A1B"/>
    <w:rsid w:val="005A7830"/>
    <w:rsid w:val="005A7FCE"/>
    <w:rsid w:val="005B0F3F"/>
    <w:rsid w:val="005B191C"/>
    <w:rsid w:val="005B2ABD"/>
    <w:rsid w:val="005B4903"/>
    <w:rsid w:val="005B51CE"/>
    <w:rsid w:val="005B5885"/>
    <w:rsid w:val="005B5CD7"/>
    <w:rsid w:val="005B6CF6"/>
    <w:rsid w:val="005B7422"/>
    <w:rsid w:val="005B7F05"/>
    <w:rsid w:val="005C1AED"/>
    <w:rsid w:val="005C29B8"/>
    <w:rsid w:val="005C5F21"/>
    <w:rsid w:val="005C7156"/>
    <w:rsid w:val="005D0C75"/>
    <w:rsid w:val="005D11CC"/>
    <w:rsid w:val="005D28B3"/>
    <w:rsid w:val="005D34D5"/>
    <w:rsid w:val="005D3D08"/>
    <w:rsid w:val="005D4171"/>
    <w:rsid w:val="005D4D58"/>
    <w:rsid w:val="005D60AA"/>
    <w:rsid w:val="005D6A95"/>
    <w:rsid w:val="005D6B2C"/>
    <w:rsid w:val="005D6D9C"/>
    <w:rsid w:val="005E1A1F"/>
    <w:rsid w:val="005E2335"/>
    <w:rsid w:val="005E34CA"/>
    <w:rsid w:val="005E3C18"/>
    <w:rsid w:val="005E4250"/>
    <w:rsid w:val="005E6812"/>
    <w:rsid w:val="005E7881"/>
    <w:rsid w:val="005E78E0"/>
    <w:rsid w:val="005F0D9C"/>
    <w:rsid w:val="005F284E"/>
    <w:rsid w:val="005F5BD8"/>
    <w:rsid w:val="005F6E23"/>
    <w:rsid w:val="005F770B"/>
    <w:rsid w:val="005F7AC1"/>
    <w:rsid w:val="006007B7"/>
    <w:rsid w:val="006015CE"/>
    <w:rsid w:val="00601EDC"/>
    <w:rsid w:val="00601FFD"/>
    <w:rsid w:val="006034D3"/>
    <w:rsid w:val="00604784"/>
    <w:rsid w:val="00606419"/>
    <w:rsid w:val="00607D29"/>
    <w:rsid w:val="00607FA5"/>
    <w:rsid w:val="0061038E"/>
    <w:rsid w:val="00611844"/>
    <w:rsid w:val="00612952"/>
    <w:rsid w:val="006135A7"/>
    <w:rsid w:val="00614CC1"/>
    <w:rsid w:val="0061583F"/>
    <w:rsid w:val="00615A9D"/>
    <w:rsid w:val="00616D4E"/>
    <w:rsid w:val="00617387"/>
    <w:rsid w:val="006205D6"/>
    <w:rsid w:val="006252D8"/>
    <w:rsid w:val="006259BC"/>
    <w:rsid w:val="0062636B"/>
    <w:rsid w:val="0062682D"/>
    <w:rsid w:val="006319E8"/>
    <w:rsid w:val="00632182"/>
    <w:rsid w:val="00632AE0"/>
    <w:rsid w:val="00633386"/>
    <w:rsid w:val="00633C17"/>
    <w:rsid w:val="00634D9E"/>
    <w:rsid w:val="00636042"/>
    <w:rsid w:val="00636E3E"/>
    <w:rsid w:val="006375B8"/>
    <w:rsid w:val="006377EC"/>
    <w:rsid w:val="006379F7"/>
    <w:rsid w:val="00637E4D"/>
    <w:rsid w:val="00640511"/>
    <w:rsid w:val="00640620"/>
    <w:rsid w:val="00640AB3"/>
    <w:rsid w:val="00641A1F"/>
    <w:rsid w:val="00644DD2"/>
    <w:rsid w:val="00645904"/>
    <w:rsid w:val="00646D70"/>
    <w:rsid w:val="00646F91"/>
    <w:rsid w:val="006479C9"/>
    <w:rsid w:val="0065159B"/>
    <w:rsid w:val="00651ACB"/>
    <w:rsid w:val="00651C47"/>
    <w:rsid w:val="00652AB2"/>
    <w:rsid w:val="00653FED"/>
    <w:rsid w:val="00654B9C"/>
    <w:rsid w:val="00654EC0"/>
    <w:rsid w:val="0065525B"/>
    <w:rsid w:val="00655D4F"/>
    <w:rsid w:val="006569C7"/>
    <w:rsid w:val="00656D29"/>
    <w:rsid w:val="00657F03"/>
    <w:rsid w:val="00657FB5"/>
    <w:rsid w:val="006640E5"/>
    <w:rsid w:val="006646F1"/>
    <w:rsid w:val="00664929"/>
    <w:rsid w:val="00664F62"/>
    <w:rsid w:val="006653B5"/>
    <w:rsid w:val="006655E1"/>
    <w:rsid w:val="006703B7"/>
    <w:rsid w:val="00672060"/>
    <w:rsid w:val="00672BFD"/>
    <w:rsid w:val="00675E45"/>
    <w:rsid w:val="006765B7"/>
    <w:rsid w:val="006770F4"/>
    <w:rsid w:val="00677A84"/>
    <w:rsid w:val="00677EED"/>
    <w:rsid w:val="0068026D"/>
    <w:rsid w:val="00680A27"/>
    <w:rsid w:val="006816A4"/>
    <w:rsid w:val="006819B8"/>
    <w:rsid w:val="006840A6"/>
    <w:rsid w:val="00684F0E"/>
    <w:rsid w:val="006850CD"/>
    <w:rsid w:val="00685AAB"/>
    <w:rsid w:val="00694346"/>
    <w:rsid w:val="006A07AA"/>
    <w:rsid w:val="006A0D14"/>
    <w:rsid w:val="006A25E5"/>
    <w:rsid w:val="006A29E2"/>
    <w:rsid w:val="006A2B46"/>
    <w:rsid w:val="006A336D"/>
    <w:rsid w:val="006A37B9"/>
    <w:rsid w:val="006A5B64"/>
    <w:rsid w:val="006A7FF0"/>
    <w:rsid w:val="006B2672"/>
    <w:rsid w:val="006B54BF"/>
    <w:rsid w:val="006B5F44"/>
    <w:rsid w:val="006B5F90"/>
    <w:rsid w:val="006B62E4"/>
    <w:rsid w:val="006C1BBA"/>
    <w:rsid w:val="006C2079"/>
    <w:rsid w:val="006C45CD"/>
    <w:rsid w:val="006C5A62"/>
    <w:rsid w:val="006C5D68"/>
    <w:rsid w:val="006C6976"/>
    <w:rsid w:val="006C6DD0"/>
    <w:rsid w:val="006D04EA"/>
    <w:rsid w:val="006D16C4"/>
    <w:rsid w:val="006D2018"/>
    <w:rsid w:val="006D2719"/>
    <w:rsid w:val="006D3C5A"/>
    <w:rsid w:val="006D3E96"/>
    <w:rsid w:val="006D4515"/>
    <w:rsid w:val="006D4BB1"/>
    <w:rsid w:val="006D6593"/>
    <w:rsid w:val="006E37DD"/>
    <w:rsid w:val="006E49EC"/>
    <w:rsid w:val="006E5155"/>
    <w:rsid w:val="006E5F09"/>
    <w:rsid w:val="006E6CFC"/>
    <w:rsid w:val="006F0098"/>
    <w:rsid w:val="006F03A8"/>
    <w:rsid w:val="006F2ACA"/>
    <w:rsid w:val="006F2ADC"/>
    <w:rsid w:val="006F2BFE"/>
    <w:rsid w:val="006F31E9"/>
    <w:rsid w:val="006F6284"/>
    <w:rsid w:val="007002C5"/>
    <w:rsid w:val="00700599"/>
    <w:rsid w:val="007018D6"/>
    <w:rsid w:val="00704387"/>
    <w:rsid w:val="00705B59"/>
    <w:rsid w:val="00707669"/>
    <w:rsid w:val="00711CBA"/>
    <w:rsid w:val="00711FB5"/>
    <w:rsid w:val="00712186"/>
    <w:rsid w:val="00712A01"/>
    <w:rsid w:val="00714F58"/>
    <w:rsid w:val="00715B7F"/>
    <w:rsid w:val="00722FBF"/>
    <w:rsid w:val="00722FC2"/>
    <w:rsid w:val="00723078"/>
    <w:rsid w:val="00724E1B"/>
    <w:rsid w:val="00725949"/>
    <w:rsid w:val="007260CC"/>
    <w:rsid w:val="00727FA2"/>
    <w:rsid w:val="0073210C"/>
    <w:rsid w:val="007322D9"/>
    <w:rsid w:val="0073270E"/>
    <w:rsid w:val="00732BC0"/>
    <w:rsid w:val="0073720F"/>
    <w:rsid w:val="00737796"/>
    <w:rsid w:val="00741240"/>
    <w:rsid w:val="007413F6"/>
    <w:rsid w:val="0074165C"/>
    <w:rsid w:val="00742C35"/>
    <w:rsid w:val="007432CA"/>
    <w:rsid w:val="007439EB"/>
    <w:rsid w:val="00743CB4"/>
    <w:rsid w:val="00743F0A"/>
    <w:rsid w:val="007444E8"/>
    <w:rsid w:val="0074548E"/>
    <w:rsid w:val="00745773"/>
    <w:rsid w:val="00746800"/>
    <w:rsid w:val="007501A8"/>
    <w:rsid w:val="00750D61"/>
    <w:rsid w:val="00750EE1"/>
    <w:rsid w:val="00751679"/>
    <w:rsid w:val="00752B4D"/>
    <w:rsid w:val="00754A62"/>
    <w:rsid w:val="00755402"/>
    <w:rsid w:val="00755B01"/>
    <w:rsid w:val="00756009"/>
    <w:rsid w:val="00756B26"/>
    <w:rsid w:val="00756EDF"/>
    <w:rsid w:val="007600E3"/>
    <w:rsid w:val="00760734"/>
    <w:rsid w:val="0076348B"/>
    <w:rsid w:val="00765C43"/>
    <w:rsid w:val="00765EFB"/>
    <w:rsid w:val="00765FCD"/>
    <w:rsid w:val="00766F9F"/>
    <w:rsid w:val="007671CA"/>
    <w:rsid w:val="00767C61"/>
    <w:rsid w:val="0077008A"/>
    <w:rsid w:val="00773C1F"/>
    <w:rsid w:val="00774DA4"/>
    <w:rsid w:val="00775DEB"/>
    <w:rsid w:val="00776599"/>
    <w:rsid w:val="00777414"/>
    <w:rsid w:val="007802F1"/>
    <w:rsid w:val="0078114B"/>
    <w:rsid w:val="00781DD2"/>
    <w:rsid w:val="00782F32"/>
    <w:rsid w:val="00783ECF"/>
    <w:rsid w:val="0078413A"/>
    <w:rsid w:val="00793D82"/>
    <w:rsid w:val="007959E8"/>
    <w:rsid w:val="00795E9C"/>
    <w:rsid w:val="00796100"/>
    <w:rsid w:val="00796CF7"/>
    <w:rsid w:val="007A0521"/>
    <w:rsid w:val="007A1809"/>
    <w:rsid w:val="007A2E12"/>
    <w:rsid w:val="007A3475"/>
    <w:rsid w:val="007A4127"/>
    <w:rsid w:val="007A41C8"/>
    <w:rsid w:val="007A54CE"/>
    <w:rsid w:val="007A5D3A"/>
    <w:rsid w:val="007A6F6B"/>
    <w:rsid w:val="007A6FD9"/>
    <w:rsid w:val="007A7FFA"/>
    <w:rsid w:val="007B04EB"/>
    <w:rsid w:val="007B0D4F"/>
    <w:rsid w:val="007B3ACD"/>
    <w:rsid w:val="007B5A3D"/>
    <w:rsid w:val="007B5B95"/>
    <w:rsid w:val="007B6032"/>
    <w:rsid w:val="007B64B3"/>
    <w:rsid w:val="007B68EA"/>
    <w:rsid w:val="007B7453"/>
    <w:rsid w:val="007C2D89"/>
    <w:rsid w:val="007C4593"/>
    <w:rsid w:val="007C5309"/>
    <w:rsid w:val="007C6069"/>
    <w:rsid w:val="007C6806"/>
    <w:rsid w:val="007C7160"/>
    <w:rsid w:val="007D06C4"/>
    <w:rsid w:val="007D1352"/>
    <w:rsid w:val="007D2508"/>
    <w:rsid w:val="007D346A"/>
    <w:rsid w:val="007D3BA3"/>
    <w:rsid w:val="007D4311"/>
    <w:rsid w:val="007D6518"/>
    <w:rsid w:val="007D714F"/>
    <w:rsid w:val="007D76BD"/>
    <w:rsid w:val="007E0A55"/>
    <w:rsid w:val="007E0BF1"/>
    <w:rsid w:val="007E258D"/>
    <w:rsid w:val="007E62EF"/>
    <w:rsid w:val="007E67C8"/>
    <w:rsid w:val="007E6FA3"/>
    <w:rsid w:val="007E7C0A"/>
    <w:rsid w:val="007F0ED8"/>
    <w:rsid w:val="007F0F63"/>
    <w:rsid w:val="007F3665"/>
    <w:rsid w:val="007F75CE"/>
    <w:rsid w:val="008013A4"/>
    <w:rsid w:val="008027CE"/>
    <w:rsid w:val="00802F42"/>
    <w:rsid w:val="00804383"/>
    <w:rsid w:val="00804BB7"/>
    <w:rsid w:val="00804D41"/>
    <w:rsid w:val="00810257"/>
    <w:rsid w:val="008104F5"/>
    <w:rsid w:val="00811072"/>
    <w:rsid w:val="00811369"/>
    <w:rsid w:val="00812258"/>
    <w:rsid w:val="00814615"/>
    <w:rsid w:val="00815419"/>
    <w:rsid w:val="008163C8"/>
    <w:rsid w:val="008164A1"/>
    <w:rsid w:val="00817325"/>
    <w:rsid w:val="008209E6"/>
    <w:rsid w:val="00820A85"/>
    <w:rsid w:val="00820A8E"/>
    <w:rsid w:val="00821D19"/>
    <w:rsid w:val="00823303"/>
    <w:rsid w:val="008233B2"/>
    <w:rsid w:val="00823A9F"/>
    <w:rsid w:val="00823C85"/>
    <w:rsid w:val="00825138"/>
    <w:rsid w:val="008269DD"/>
    <w:rsid w:val="008279B2"/>
    <w:rsid w:val="00830621"/>
    <w:rsid w:val="0083284C"/>
    <w:rsid w:val="008330D3"/>
    <w:rsid w:val="0083348C"/>
    <w:rsid w:val="00834324"/>
    <w:rsid w:val="00835233"/>
    <w:rsid w:val="008373D3"/>
    <w:rsid w:val="00840617"/>
    <w:rsid w:val="00840F84"/>
    <w:rsid w:val="00842A47"/>
    <w:rsid w:val="00843C13"/>
    <w:rsid w:val="00843DEF"/>
    <w:rsid w:val="008450C5"/>
    <w:rsid w:val="008454F8"/>
    <w:rsid w:val="008456EC"/>
    <w:rsid w:val="008472F1"/>
    <w:rsid w:val="00850808"/>
    <w:rsid w:val="00850D13"/>
    <w:rsid w:val="008514A4"/>
    <w:rsid w:val="0085173A"/>
    <w:rsid w:val="00852C47"/>
    <w:rsid w:val="00853021"/>
    <w:rsid w:val="008544EE"/>
    <w:rsid w:val="00857003"/>
    <w:rsid w:val="008603CE"/>
    <w:rsid w:val="008620FC"/>
    <w:rsid w:val="008627A5"/>
    <w:rsid w:val="008631D8"/>
    <w:rsid w:val="00863815"/>
    <w:rsid w:val="00863E05"/>
    <w:rsid w:val="00863F1A"/>
    <w:rsid w:val="008644C1"/>
    <w:rsid w:val="00865ACA"/>
    <w:rsid w:val="00865D28"/>
    <w:rsid w:val="00865F85"/>
    <w:rsid w:val="00867486"/>
    <w:rsid w:val="008675D9"/>
    <w:rsid w:val="00867C10"/>
    <w:rsid w:val="00870439"/>
    <w:rsid w:val="00870DA1"/>
    <w:rsid w:val="008809D0"/>
    <w:rsid w:val="00883F93"/>
    <w:rsid w:val="00884DB3"/>
    <w:rsid w:val="00885A9D"/>
    <w:rsid w:val="008864F6"/>
    <w:rsid w:val="008900AE"/>
    <w:rsid w:val="0089049D"/>
    <w:rsid w:val="00891287"/>
    <w:rsid w:val="008928C9"/>
    <w:rsid w:val="008930CB"/>
    <w:rsid w:val="008938DC"/>
    <w:rsid w:val="00893FD1"/>
    <w:rsid w:val="00894836"/>
    <w:rsid w:val="00894A38"/>
    <w:rsid w:val="00894D18"/>
    <w:rsid w:val="00895172"/>
    <w:rsid w:val="00895680"/>
    <w:rsid w:val="00896831"/>
    <w:rsid w:val="00896DFF"/>
    <w:rsid w:val="0089762C"/>
    <w:rsid w:val="00897EE5"/>
    <w:rsid w:val="008A0894"/>
    <w:rsid w:val="008A173B"/>
    <w:rsid w:val="008A1893"/>
    <w:rsid w:val="008A57E6"/>
    <w:rsid w:val="008A62AA"/>
    <w:rsid w:val="008A6F81"/>
    <w:rsid w:val="008A769A"/>
    <w:rsid w:val="008A7C2E"/>
    <w:rsid w:val="008B0457"/>
    <w:rsid w:val="008B0C9C"/>
    <w:rsid w:val="008B11C8"/>
    <w:rsid w:val="008B166D"/>
    <w:rsid w:val="008B17F4"/>
    <w:rsid w:val="008B355F"/>
    <w:rsid w:val="008B3615"/>
    <w:rsid w:val="008B41F6"/>
    <w:rsid w:val="008B4752"/>
    <w:rsid w:val="008B4AC4"/>
    <w:rsid w:val="008B50C8"/>
    <w:rsid w:val="008B50D3"/>
    <w:rsid w:val="008B5281"/>
    <w:rsid w:val="008B755C"/>
    <w:rsid w:val="008B7E05"/>
    <w:rsid w:val="008C0FCF"/>
    <w:rsid w:val="008C1797"/>
    <w:rsid w:val="008C17E9"/>
    <w:rsid w:val="008C219C"/>
    <w:rsid w:val="008C2955"/>
    <w:rsid w:val="008C2D68"/>
    <w:rsid w:val="008C4383"/>
    <w:rsid w:val="008C475E"/>
    <w:rsid w:val="008C4AC9"/>
    <w:rsid w:val="008C619A"/>
    <w:rsid w:val="008C66E6"/>
    <w:rsid w:val="008D0CE8"/>
    <w:rsid w:val="008D2206"/>
    <w:rsid w:val="008D2A3C"/>
    <w:rsid w:val="008D2D1D"/>
    <w:rsid w:val="008D453D"/>
    <w:rsid w:val="008D53AD"/>
    <w:rsid w:val="008D562B"/>
    <w:rsid w:val="008D5733"/>
    <w:rsid w:val="008D622B"/>
    <w:rsid w:val="008D666C"/>
    <w:rsid w:val="008D7B54"/>
    <w:rsid w:val="008E0C1C"/>
    <w:rsid w:val="008E0C9D"/>
    <w:rsid w:val="008E1648"/>
    <w:rsid w:val="008E1B3E"/>
    <w:rsid w:val="008E2319"/>
    <w:rsid w:val="008E4BB6"/>
    <w:rsid w:val="008E5518"/>
    <w:rsid w:val="008E6A84"/>
    <w:rsid w:val="008F0CDC"/>
    <w:rsid w:val="008F17A3"/>
    <w:rsid w:val="008F1CA1"/>
    <w:rsid w:val="008F1ED3"/>
    <w:rsid w:val="008F3F29"/>
    <w:rsid w:val="008F48D0"/>
    <w:rsid w:val="008F4C29"/>
    <w:rsid w:val="008F5C27"/>
    <w:rsid w:val="008F70BD"/>
    <w:rsid w:val="008F788F"/>
    <w:rsid w:val="008F7EA2"/>
    <w:rsid w:val="00902722"/>
    <w:rsid w:val="009027BC"/>
    <w:rsid w:val="009040C6"/>
    <w:rsid w:val="009062E6"/>
    <w:rsid w:val="009117EE"/>
    <w:rsid w:val="00911BE5"/>
    <w:rsid w:val="0091300A"/>
    <w:rsid w:val="00913CA9"/>
    <w:rsid w:val="009145AE"/>
    <w:rsid w:val="009146CE"/>
    <w:rsid w:val="00914AA4"/>
    <w:rsid w:val="00914AE5"/>
    <w:rsid w:val="00914CA7"/>
    <w:rsid w:val="00915C3E"/>
    <w:rsid w:val="009161A8"/>
    <w:rsid w:val="00921964"/>
    <w:rsid w:val="00922F63"/>
    <w:rsid w:val="00923D64"/>
    <w:rsid w:val="009245AE"/>
    <w:rsid w:val="009245F5"/>
    <w:rsid w:val="009249EC"/>
    <w:rsid w:val="009273B3"/>
    <w:rsid w:val="009305B5"/>
    <w:rsid w:val="00932487"/>
    <w:rsid w:val="009344DD"/>
    <w:rsid w:val="009378DD"/>
    <w:rsid w:val="00940063"/>
    <w:rsid w:val="009429D5"/>
    <w:rsid w:val="00942BF1"/>
    <w:rsid w:val="00945180"/>
    <w:rsid w:val="00945428"/>
    <w:rsid w:val="0094607B"/>
    <w:rsid w:val="00953604"/>
    <w:rsid w:val="0095496B"/>
    <w:rsid w:val="00955441"/>
    <w:rsid w:val="0095686F"/>
    <w:rsid w:val="009576FA"/>
    <w:rsid w:val="00960F1E"/>
    <w:rsid w:val="009610DC"/>
    <w:rsid w:val="00961490"/>
    <w:rsid w:val="00962561"/>
    <w:rsid w:val="0096381A"/>
    <w:rsid w:val="009643ED"/>
    <w:rsid w:val="009650FC"/>
    <w:rsid w:val="00965E04"/>
    <w:rsid w:val="0096734D"/>
    <w:rsid w:val="009674AD"/>
    <w:rsid w:val="0097057C"/>
    <w:rsid w:val="00970CDC"/>
    <w:rsid w:val="00974C81"/>
    <w:rsid w:val="00975727"/>
    <w:rsid w:val="00977010"/>
    <w:rsid w:val="00977D02"/>
    <w:rsid w:val="00977FF9"/>
    <w:rsid w:val="009809BB"/>
    <w:rsid w:val="0098364B"/>
    <w:rsid w:val="009908A3"/>
    <w:rsid w:val="00990ACD"/>
    <w:rsid w:val="009911AF"/>
    <w:rsid w:val="00991875"/>
    <w:rsid w:val="00991F92"/>
    <w:rsid w:val="00992400"/>
    <w:rsid w:val="00992985"/>
    <w:rsid w:val="00993889"/>
    <w:rsid w:val="009941B3"/>
    <w:rsid w:val="0099551B"/>
    <w:rsid w:val="00996BD2"/>
    <w:rsid w:val="00997BF1"/>
    <w:rsid w:val="009A02BD"/>
    <w:rsid w:val="009A089C"/>
    <w:rsid w:val="009A118E"/>
    <w:rsid w:val="009A21CD"/>
    <w:rsid w:val="009A278C"/>
    <w:rsid w:val="009A2BC2"/>
    <w:rsid w:val="009A40BA"/>
    <w:rsid w:val="009A42C1"/>
    <w:rsid w:val="009A5429"/>
    <w:rsid w:val="009A72AD"/>
    <w:rsid w:val="009B09E0"/>
    <w:rsid w:val="009B0BC5"/>
    <w:rsid w:val="009B1247"/>
    <w:rsid w:val="009B310C"/>
    <w:rsid w:val="009B44A3"/>
    <w:rsid w:val="009B6029"/>
    <w:rsid w:val="009B6971"/>
    <w:rsid w:val="009B6CA3"/>
    <w:rsid w:val="009C16CE"/>
    <w:rsid w:val="009C16FC"/>
    <w:rsid w:val="009C1C76"/>
    <w:rsid w:val="009C27F1"/>
    <w:rsid w:val="009C3152"/>
    <w:rsid w:val="009C3257"/>
    <w:rsid w:val="009C3837"/>
    <w:rsid w:val="009C4CFA"/>
    <w:rsid w:val="009C5070"/>
    <w:rsid w:val="009D0791"/>
    <w:rsid w:val="009D112C"/>
    <w:rsid w:val="009D1385"/>
    <w:rsid w:val="009D33D3"/>
    <w:rsid w:val="009D4096"/>
    <w:rsid w:val="009D47FA"/>
    <w:rsid w:val="009D4C5B"/>
    <w:rsid w:val="009D50D2"/>
    <w:rsid w:val="009D65B4"/>
    <w:rsid w:val="009D6BCA"/>
    <w:rsid w:val="009E0F62"/>
    <w:rsid w:val="009E16EF"/>
    <w:rsid w:val="009E480F"/>
    <w:rsid w:val="009E4A58"/>
    <w:rsid w:val="009E5A2D"/>
    <w:rsid w:val="009E5AB2"/>
    <w:rsid w:val="009E6219"/>
    <w:rsid w:val="009F03B3"/>
    <w:rsid w:val="009F0738"/>
    <w:rsid w:val="00A0068B"/>
    <w:rsid w:val="00A00739"/>
    <w:rsid w:val="00A0096C"/>
    <w:rsid w:val="00A00D2C"/>
    <w:rsid w:val="00A010C9"/>
    <w:rsid w:val="00A01757"/>
    <w:rsid w:val="00A028C0"/>
    <w:rsid w:val="00A02BAE"/>
    <w:rsid w:val="00A045AB"/>
    <w:rsid w:val="00A06A6B"/>
    <w:rsid w:val="00A07702"/>
    <w:rsid w:val="00A07E47"/>
    <w:rsid w:val="00A11011"/>
    <w:rsid w:val="00A129D0"/>
    <w:rsid w:val="00A12C33"/>
    <w:rsid w:val="00A134DF"/>
    <w:rsid w:val="00A13684"/>
    <w:rsid w:val="00A13783"/>
    <w:rsid w:val="00A138BA"/>
    <w:rsid w:val="00A14C8E"/>
    <w:rsid w:val="00A150DF"/>
    <w:rsid w:val="00A153D9"/>
    <w:rsid w:val="00A15F09"/>
    <w:rsid w:val="00A169B6"/>
    <w:rsid w:val="00A2271D"/>
    <w:rsid w:val="00A237D5"/>
    <w:rsid w:val="00A270D5"/>
    <w:rsid w:val="00A2753B"/>
    <w:rsid w:val="00A30C58"/>
    <w:rsid w:val="00A30EFC"/>
    <w:rsid w:val="00A31984"/>
    <w:rsid w:val="00A32429"/>
    <w:rsid w:val="00A32D73"/>
    <w:rsid w:val="00A3367B"/>
    <w:rsid w:val="00A33C67"/>
    <w:rsid w:val="00A3597D"/>
    <w:rsid w:val="00A36DD1"/>
    <w:rsid w:val="00A4006C"/>
    <w:rsid w:val="00A40091"/>
    <w:rsid w:val="00A4030F"/>
    <w:rsid w:val="00A40A8E"/>
    <w:rsid w:val="00A41C79"/>
    <w:rsid w:val="00A41CB5"/>
    <w:rsid w:val="00A42CDF"/>
    <w:rsid w:val="00A4452E"/>
    <w:rsid w:val="00A4472C"/>
    <w:rsid w:val="00A44E69"/>
    <w:rsid w:val="00A4661E"/>
    <w:rsid w:val="00A52301"/>
    <w:rsid w:val="00A53EF8"/>
    <w:rsid w:val="00A55BD6"/>
    <w:rsid w:val="00A55D50"/>
    <w:rsid w:val="00A57142"/>
    <w:rsid w:val="00A5728C"/>
    <w:rsid w:val="00A608FE"/>
    <w:rsid w:val="00A648CD"/>
    <w:rsid w:val="00A6537A"/>
    <w:rsid w:val="00A67866"/>
    <w:rsid w:val="00A70B07"/>
    <w:rsid w:val="00A71323"/>
    <w:rsid w:val="00A71B2D"/>
    <w:rsid w:val="00A72156"/>
    <w:rsid w:val="00A723F8"/>
    <w:rsid w:val="00A739A8"/>
    <w:rsid w:val="00A77CCB"/>
    <w:rsid w:val="00A83D8D"/>
    <w:rsid w:val="00A8446B"/>
    <w:rsid w:val="00A8473F"/>
    <w:rsid w:val="00A84C18"/>
    <w:rsid w:val="00A862D6"/>
    <w:rsid w:val="00A86D82"/>
    <w:rsid w:val="00A86F6E"/>
    <w:rsid w:val="00A8715E"/>
    <w:rsid w:val="00A9198F"/>
    <w:rsid w:val="00A9295B"/>
    <w:rsid w:val="00A92DA9"/>
    <w:rsid w:val="00A93B09"/>
    <w:rsid w:val="00A94242"/>
    <w:rsid w:val="00A9521A"/>
    <w:rsid w:val="00A952D7"/>
    <w:rsid w:val="00A952F9"/>
    <w:rsid w:val="00A95ECE"/>
    <w:rsid w:val="00A963F7"/>
    <w:rsid w:val="00A96AD8"/>
    <w:rsid w:val="00AA052C"/>
    <w:rsid w:val="00AA0734"/>
    <w:rsid w:val="00AA113D"/>
    <w:rsid w:val="00AA14DA"/>
    <w:rsid w:val="00AA1E45"/>
    <w:rsid w:val="00AA36DF"/>
    <w:rsid w:val="00AA3B27"/>
    <w:rsid w:val="00AA4286"/>
    <w:rsid w:val="00AA44F9"/>
    <w:rsid w:val="00AA456B"/>
    <w:rsid w:val="00AA57F5"/>
    <w:rsid w:val="00AA672E"/>
    <w:rsid w:val="00AA6EC9"/>
    <w:rsid w:val="00AB6309"/>
    <w:rsid w:val="00AB6C5F"/>
    <w:rsid w:val="00AB6F2B"/>
    <w:rsid w:val="00AB7129"/>
    <w:rsid w:val="00AC27A6"/>
    <w:rsid w:val="00AC30F7"/>
    <w:rsid w:val="00AC3A5A"/>
    <w:rsid w:val="00AC3D09"/>
    <w:rsid w:val="00AC4D95"/>
    <w:rsid w:val="00AC5DF4"/>
    <w:rsid w:val="00AC7694"/>
    <w:rsid w:val="00AD0AEF"/>
    <w:rsid w:val="00AD11B7"/>
    <w:rsid w:val="00AD1A94"/>
    <w:rsid w:val="00AD1C05"/>
    <w:rsid w:val="00AD4126"/>
    <w:rsid w:val="00AD421C"/>
    <w:rsid w:val="00AD44FA"/>
    <w:rsid w:val="00AE070A"/>
    <w:rsid w:val="00AE101C"/>
    <w:rsid w:val="00AE290C"/>
    <w:rsid w:val="00AE2A69"/>
    <w:rsid w:val="00AE37E5"/>
    <w:rsid w:val="00AE39A7"/>
    <w:rsid w:val="00AE3C8A"/>
    <w:rsid w:val="00AE5EB4"/>
    <w:rsid w:val="00AE6A4A"/>
    <w:rsid w:val="00AE74D2"/>
    <w:rsid w:val="00AF0C18"/>
    <w:rsid w:val="00AF10C1"/>
    <w:rsid w:val="00AF47C5"/>
    <w:rsid w:val="00AF5398"/>
    <w:rsid w:val="00AF70AB"/>
    <w:rsid w:val="00B049AF"/>
    <w:rsid w:val="00B07242"/>
    <w:rsid w:val="00B10534"/>
    <w:rsid w:val="00B113DB"/>
    <w:rsid w:val="00B11D8A"/>
    <w:rsid w:val="00B121EF"/>
    <w:rsid w:val="00B12981"/>
    <w:rsid w:val="00B12B45"/>
    <w:rsid w:val="00B13B3C"/>
    <w:rsid w:val="00B147DD"/>
    <w:rsid w:val="00B156FD"/>
    <w:rsid w:val="00B1618C"/>
    <w:rsid w:val="00B20A94"/>
    <w:rsid w:val="00B21D53"/>
    <w:rsid w:val="00B21F61"/>
    <w:rsid w:val="00B261F1"/>
    <w:rsid w:val="00B265BC"/>
    <w:rsid w:val="00B26DC2"/>
    <w:rsid w:val="00B30810"/>
    <w:rsid w:val="00B31FB1"/>
    <w:rsid w:val="00B338D4"/>
    <w:rsid w:val="00B33952"/>
    <w:rsid w:val="00B33C5E"/>
    <w:rsid w:val="00B342F4"/>
    <w:rsid w:val="00B34369"/>
    <w:rsid w:val="00B34DC2"/>
    <w:rsid w:val="00B35711"/>
    <w:rsid w:val="00B378E5"/>
    <w:rsid w:val="00B4169D"/>
    <w:rsid w:val="00B41A17"/>
    <w:rsid w:val="00B4346D"/>
    <w:rsid w:val="00B440F4"/>
    <w:rsid w:val="00B447A5"/>
    <w:rsid w:val="00B45E2B"/>
    <w:rsid w:val="00B4654C"/>
    <w:rsid w:val="00B47293"/>
    <w:rsid w:val="00B50E50"/>
    <w:rsid w:val="00B52120"/>
    <w:rsid w:val="00B54ABC"/>
    <w:rsid w:val="00B55FD5"/>
    <w:rsid w:val="00B56FBE"/>
    <w:rsid w:val="00B60ACF"/>
    <w:rsid w:val="00B62B58"/>
    <w:rsid w:val="00B62F0F"/>
    <w:rsid w:val="00B63270"/>
    <w:rsid w:val="00B633F5"/>
    <w:rsid w:val="00B647EC"/>
    <w:rsid w:val="00B65149"/>
    <w:rsid w:val="00B66567"/>
    <w:rsid w:val="00B66F52"/>
    <w:rsid w:val="00B66FE5"/>
    <w:rsid w:val="00B7026D"/>
    <w:rsid w:val="00B72880"/>
    <w:rsid w:val="00B72D70"/>
    <w:rsid w:val="00B7328D"/>
    <w:rsid w:val="00B758BF"/>
    <w:rsid w:val="00B774E7"/>
    <w:rsid w:val="00B77EC8"/>
    <w:rsid w:val="00B8268A"/>
    <w:rsid w:val="00B827A6"/>
    <w:rsid w:val="00B831CE"/>
    <w:rsid w:val="00B86677"/>
    <w:rsid w:val="00B87131"/>
    <w:rsid w:val="00B910AD"/>
    <w:rsid w:val="00B91C66"/>
    <w:rsid w:val="00B92A95"/>
    <w:rsid w:val="00B931EA"/>
    <w:rsid w:val="00B939B1"/>
    <w:rsid w:val="00B96D40"/>
    <w:rsid w:val="00B97386"/>
    <w:rsid w:val="00B977A2"/>
    <w:rsid w:val="00BA1CFE"/>
    <w:rsid w:val="00BA263B"/>
    <w:rsid w:val="00BA4182"/>
    <w:rsid w:val="00BA42B2"/>
    <w:rsid w:val="00BA58D4"/>
    <w:rsid w:val="00BA5B9E"/>
    <w:rsid w:val="00BA5E7D"/>
    <w:rsid w:val="00BA7C9A"/>
    <w:rsid w:val="00BB034C"/>
    <w:rsid w:val="00BB2269"/>
    <w:rsid w:val="00BB5F8F"/>
    <w:rsid w:val="00BB657A"/>
    <w:rsid w:val="00BB6E54"/>
    <w:rsid w:val="00BC0415"/>
    <w:rsid w:val="00BC1A4E"/>
    <w:rsid w:val="00BC3054"/>
    <w:rsid w:val="00BC4E26"/>
    <w:rsid w:val="00BC53A5"/>
    <w:rsid w:val="00BC58BB"/>
    <w:rsid w:val="00BC5992"/>
    <w:rsid w:val="00BC5A50"/>
    <w:rsid w:val="00BC5A95"/>
    <w:rsid w:val="00BC5DC7"/>
    <w:rsid w:val="00BC650F"/>
    <w:rsid w:val="00BC6B8B"/>
    <w:rsid w:val="00BC73D8"/>
    <w:rsid w:val="00BD132E"/>
    <w:rsid w:val="00BD14CE"/>
    <w:rsid w:val="00BD52D7"/>
    <w:rsid w:val="00BD5AD2"/>
    <w:rsid w:val="00BE1222"/>
    <w:rsid w:val="00BE22F3"/>
    <w:rsid w:val="00BE35BA"/>
    <w:rsid w:val="00BE3997"/>
    <w:rsid w:val="00BE5B52"/>
    <w:rsid w:val="00BE7B8D"/>
    <w:rsid w:val="00BF0993"/>
    <w:rsid w:val="00BF10A9"/>
    <w:rsid w:val="00BF1703"/>
    <w:rsid w:val="00BF231C"/>
    <w:rsid w:val="00BF51E5"/>
    <w:rsid w:val="00BF74A6"/>
    <w:rsid w:val="00C0050F"/>
    <w:rsid w:val="00C013AD"/>
    <w:rsid w:val="00C04904"/>
    <w:rsid w:val="00C056B3"/>
    <w:rsid w:val="00C103E5"/>
    <w:rsid w:val="00C105B4"/>
    <w:rsid w:val="00C13319"/>
    <w:rsid w:val="00C13EE9"/>
    <w:rsid w:val="00C17457"/>
    <w:rsid w:val="00C175F7"/>
    <w:rsid w:val="00C21540"/>
    <w:rsid w:val="00C21906"/>
    <w:rsid w:val="00C21BFA"/>
    <w:rsid w:val="00C229CF"/>
    <w:rsid w:val="00C22ABD"/>
    <w:rsid w:val="00C23CD8"/>
    <w:rsid w:val="00C24C8D"/>
    <w:rsid w:val="00C25FE2"/>
    <w:rsid w:val="00C26B53"/>
    <w:rsid w:val="00C279B2"/>
    <w:rsid w:val="00C33E50"/>
    <w:rsid w:val="00C34C20"/>
    <w:rsid w:val="00C34F42"/>
    <w:rsid w:val="00C35A3E"/>
    <w:rsid w:val="00C35C35"/>
    <w:rsid w:val="00C3666E"/>
    <w:rsid w:val="00C42130"/>
    <w:rsid w:val="00C423A4"/>
    <w:rsid w:val="00C423E3"/>
    <w:rsid w:val="00C43C3D"/>
    <w:rsid w:val="00C44BF5"/>
    <w:rsid w:val="00C45AD2"/>
    <w:rsid w:val="00C5136D"/>
    <w:rsid w:val="00C51B4C"/>
    <w:rsid w:val="00C521D6"/>
    <w:rsid w:val="00C52417"/>
    <w:rsid w:val="00C55232"/>
    <w:rsid w:val="00C553A4"/>
    <w:rsid w:val="00C55A06"/>
    <w:rsid w:val="00C55D03"/>
    <w:rsid w:val="00C601BC"/>
    <w:rsid w:val="00C61EC4"/>
    <w:rsid w:val="00C6329F"/>
    <w:rsid w:val="00C63340"/>
    <w:rsid w:val="00C638D5"/>
    <w:rsid w:val="00C643F9"/>
    <w:rsid w:val="00C64E95"/>
    <w:rsid w:val="00C674D0"/>
    <w:rsid w:val="00C70DAE"/>
    <w:rsid w:val="00C71372"/>
    <w:rsid w:val="00C72410"/>
    <w:rsid w:val="00C7261A"/>
    <w:rsid w:val="00C7287F"/>
    <w:rsid w:val="00C743C4"/>
    <w:rsid w:val="00C8070B"/>
    <w:rsid w:val="00C80CB8"/>
    <w:rsid w:val="00C819F8"/>
    <w:rsid w:val="00C8248C"/>
    <w:rsid w:val="00C831D8"/>
    <w:rsid w:val="00C84B30"/>
    <w:rsid w:val="00C84E33"/>
    <w:rsid w:val="00C86D6F"/>
    <w:rsid w:val="00C87BAF"/>
    <w:rsid w:val="00C90350"/>
    <w:rsid w:val="00C905FC"/>
    <w:rsid w:val="00C918C0"/>
    <w:rsid w:val="00C92D03"/>
    <w:rsid w:val="00C9319C"/>
    <w:rsid w:val="00C9435D"/>
    <w:rsid w:val="00C94B3A"/>
    <w:rsid w:val="00C94DB9"/>
    <w:rsid w:val="00C94DF2"/>
    <w:rsid w:val="00C96741"/>
    <w:rsid w:val="00C97A70"/>
    <w:rsid w:val="00CA2D1B"/>
    <w:rsid w:val="00CA375D"/>
    <w:rsid w:val="00CA662A"/>
    <w:rsid w:val="00CA7197"/>
    <w:rsid w:val="00CA7AFD"/>
    <w:rsid w:val="00CA7C3C"/>
    <w:rsid w:val="00CB0189"/>
    <w:rsid w:val="00CB0627"/>
    <w:rsid w:val="00CB0BA2"/>
    <w:rsid w:val="00CB1A42"/>
    <w:rsid w:val="00CB1B0C"/>
    <w:rsid w:val="00CB2C0B"/>
    <w:rsid w:val="00CB453F"/>
    <w:rsid w:val="00CB4C24"/>
    <w:rsid w:val="00CB517D"/>
    <w:rsid w:val="00CB6909"/>
    <w:rsid w:val="00CB702B"/>
    <w:rsid w:val="00CB786D"/>
    <w:rsid w:val="00CB7FE2"/>
    <w:rsid w:val="00CC038D"/>
    <w:rsid w:val="00CC08DB"/>
    <w:rsid w:val="00CC13E4"/>
    <w:rsid w:val="00CC3072"/>
    <w:rsid w:val="00CC39FF"/>
    <w:rsid w:val="00CC3C2F"/>
    <w:rsid w:val="00CC4AC8"/>
    <w:rsid w:val="00CC5233"/>
    <w:rsid w:val="00CC5DE6"/>
    <w:rsid w:val="00CC6237"/>
    <w:rsid w:val="00CC6E4E"/>
    <w:rsid w:val="00CC6FE8"/>
    <w:rsid w:val="00CC7202"/>
    <w:rsid w:val="00CD0A16"/>
    <w:rsid w:val="00CD1CCC"/>
    <w:rsid w:val="00CD2808"/>
    <w:rsid w:val="00CD28BF"/>
    <w:rsid w:val="00CD33E3"/>
    <w:rsid w:val="00CD4092"/>
    <w:rsid w:val="00CD4A20"/>
    <w:rsid w:val="00CD50A1"/>
    <w:rsid w:val="00CD519E"/>
    <w:rsid w:val="00CE0C4F"/>
    <w:rsid w:val="00CE1E2B"/>
    <w:rsid w:val="00CE30EA"/>
    <w:rsid w:val="00CE427C"/>
    <w:rsid w:val="00CE7FB4"/>
    <w:rsid w:val="00CF048A"/>
    <w:rsid w:val="00CF1308"/>
    <w:rsid w:val="00CF155A"/>
    <w:rsid w:val="00CF1A35"/>
    <w:rsid w:val="00CF1C5E"/>
    <w:rsid w:val="00CF2947"/>
    <w:rsid w:val="00CF686F"/>
    <w:rsid w:val="00CF6E60"/>
    <w:rsid w:val="00CF7B1F"/>
    <w:rsid w:val="00CF7BCA"/>
    <w:rsid w:val="00D008FD"/>
    <w:rsid w:val="00D013BE"/>
    <w:rsid w:val="00D024A9"/>
    <w:rsid w:val="00D0321C"/>
    <w:rsid w:val="00D03520"/>
    <w:rsid w:val="00D035EC"/>
    <w:rsid w:val="00D039E1"/>
    <w:rsid w:val="00D05A56"/>
    <w:rsid w:val="00D06AB1"/>
    <w:rsid w:val="00D06FC1"/>
    <w:rsid w:val="00D07152"/>
    <w:rsid w:val="00D072ED"/>
    <w:rsid w:val="00D07A16"/>
    <w:rsid w:val="00D1067E"/>
    <w:rsid w:val="00D10F50"/>
    <w:rsid w:val="00D11272"/>
    <w:rsid w:val="00D11DFC"/>
    <w:rsid w:val="00D126F5"/>
    <w:rsid w:val="00D1489E"/>
    <w:rsid w:val="00D20737"/>
    <w:rsid w:val="00D21E81"/>
    <w:rsid w:val="00D223DE"/>
    <w:rsid w:val="00D25C6F"/>
    <w:rsid w:val="00D25E37"/>
    <w:rsid w:val="00D2661A"/>
    <w:rsid w:val="00D27582"/>
    <w:rsid w:val="00D27EC4"/>
    <w:rsid w:val="00D31041"/>
    <w:rsid w:val="00D32719"/>
    <w:rsid w:val="00D32913"/>
    <w:rsid w:val="00D332E2"/>
    <w:rsid w:val="00D33333"/>
    <w:rsid w:val="00D352A2"/>
    <w:rsid w:val="00D366C4"/>
    <w:rsid w:val="00D40426"/>
    <w:rsid w:val="00D40DFA"/>
    <w:rsid w:val="00D4134C"/>
    <w:rsid w:val="00D4162B"/>
    <w:rsid w:val="00D41EFB"/>
    <w:rsid w:val="00D4488E"/>
    <w:rsid w:val="00D4514F"/>
    <w:rsid w:val="00D451E2"/>
    <w:rsid w:val="00D4548B"/>
    <w:rsid w:val="00D45E89"/>
    <w:rsid w:val="00D45E8D"/>
    <w:rsid w:val="00D466AE"/>
    <w:rsid w:val="00D46B86"/>
    <w:rsid w:val="00D4734F"/>
    <w:rsid w:val="00D51BF3"/>
    <w:rsid w:val="00D52376"/>
    <w:rsid w:val="00D56E9C"/>
    <w:rsid w:val="00D60AEF"/>
    <w:rsid w:val="00D6650A"/>
    <w:rsid w:val="00D66846"/>
    <w:rsid w:val="00D675FB"/>
    <w:rsid w:val="00D67CB1"/>
    <w:rsid w:val="00D71F25"/>
    <w:rsid w:val="00D72A9C"/>
    <w:rsid w:val="00D77031"/>
    <w:rsid w:val="00D84941"/>
    <w:rsid w:val="00D84FA1"/>
    <w:rsid w:val="00D851F0"/>
    <w:rsid w:val="00D85F1F"/>
    <w:rsid w:val="00D85F35"/>
    <w:rsid w:val="00D864EF"/>
    <w:rsid w:val="00D8687A"/>
    <w:rsid w:val="00D86DB7"/>
    <w:rsid w:val="00D87BF5"/>
    <w:rsid w:val="00D87EF0"/>
    <w:rsid w:val="00D90721"/>
    <w:rsid w:val="00D91263"/>
    <w:rsid w:val="00D92162"/>
    <w:rsid w:val="00D926D0"/>
    <w:rsid w:val="00D93030"/>
    <w:rsid w:val="00D950E1"/>
    <w:rsid w:val="00D952A6"/>
    <w:rsid w:val="00D958C9"/>
    <w:rsid w:val="00D97F99"/>
    <w:rsid w:val="00DA0F55"/>
    <w:rsid w:val="00DA1E08"/>
    <w:rsid w:val="00DA24F8"/>
    <w:rsid w:val="00DA28E8"/>
    <w:rsid w:val="00DA38D3"/>
    <w:rsid w:val="00DA3932"/>
    <w:rsid w:val="00DA3AFC"/>
    <w:rsid w:val="00DA64F8"/>
    <w:rsid w:val="00DA660E"/>
    <w:rsid w:val="00DA685D"/>
    <w:rsid w:val="00DA6C15"/>
    <w:rsid w:val="00DB0258"/>
    <w:rsid w:val="00DB35FD"/>
    <w:rsid w:val="00DB38EE"/>
    <w:rsid w:val="00DB41BA"/>
    <w:rsid w:val="00DB498B"/>
    <w:rsid w:val="00DB66CA"/>
    <w:rsid w:val="00DB6BCA"/>
    <w:rsid w:val="00DB6F54"/>
    <w:rsid w:val="00DB73F7"/>
    <w:rsid w:val="00DC0321"/>
    <w:rsid w:val="00DC2220"/>
    <w:rsid w:val="00DC2E77"/>
    <w:rsid w:val="00DC3067"/>
    <w:rsid w:val="00DC330B"/>
    <w:rsid w:val="00DC370B"/>
    <w:rsid w:val="00DC4C22"/>
    <w:rsid w:val="00DC5B90"/>
    <w:rsid w:val="00DC6A58"/>
    <w:rsid w:val="00DD00FF"/>
    <w:rsid w:val="00DD0619"/>
    <w:rsid w:val="00DD07FB"/>
    <w:rsid w:val="00DD25C6"/>
    <w:rsid w:val="00DD4BA7"/>
    <w:rsid w:val="00DD4FE5"/>
    <w:rsid w:val="00DD54B0"/>
    <w:rsid w:val="00DD57EE"/>
    <w:rsid w:val="00DD6671"/>
    <w:rsid w:val="00DD6BCC"/>
    <w:rsid w:val="00DD72A7"/>
    <w:rsid w:val="00DE04CD"/>
    <w:rsid w:val="00DE0A4B"/>
    <w:rsid w:val="00DE2410"/>
    <w:rsid w:val="00DE2939"/>
    <w:rsid w:val="00DE2BC8"/>
    <w:rsid w:val="00DE6B55"/>
    <w:rsid w:val="00DE6E81"/>
    <w:rsid w:val="00DE6F78"/>
    <w:rsid w:val="00DE703F"/>
    <w:rsid w:val="00DE7595"/>
    <w:rsid w:val="00DF1676"/>
    <w:rsid w:val="00DF1961"/>
    <w:rsid w:val="00DF352F"/>
    <w:rsid w:val="00DF44DE"/>
    <w:rsid w:val="00DF5136"/>
    <w:rsid w:val="00E01138"/>
    <w:rsid w:val="00E01D6B"/>
    <w:rsid w:val="00E02DFB"/>
    <w:rsid w:val="00E030F9"/>
    <w:rsid w:val="00E0311A"/>
    <w:rsid w:val="00E03138"/>
    <w:rsid w:val="00E06404"/>
    <w:rsid w:val="00E06B14"/>
    <w:rsid w:val="00E06E50"/>
    <w:rsid w:val="00E11032"/>
    <w:rsid w:val="00E11620"/>
    <w:rsid w:val="00E11A85"/>
    <w:rsid w:val="00E12495"/>
    <w:rsid w:val="00E15CCD"/>
    <w:rsid w:val="00E202EF"/>
    <w:rsid w:val="00E20FE3"/>
    <w:rsid w:val="00E210B5"/>
    <w:rsid w:val="00E21D86"/>
    <w:rsid w:val="00E23C92"/>
    <w:rsid w:val="00E23CB8"/>
    <w:rsid w:val="00E23D81"/>
    <w:rsid w:val="00E2438D"/>
    <w:rsid w:val="00E2552F"/>
    <w:rsid w:val="00E26160"/>
    <w:rsid w:val="00E26998"/>
    <w:rsid w:val="00E27BA6"/>
    <w:rsid w:val="00E30CF8"/>
    <w:rsid w:val="00E3137A"/>
    <w:rsid w:val="00E32CCF"/>
    <w:rsid w:val="00E34A98"/>
    <w:rsid w:val="00E35C24"/>
    <w:rsid w:val="00E35D1E"/>
    <w:rsid w:val="00E364F9"/>
    <w:rsid w:val="00E365FA"/>
    <w:rsid w:val="00E36789"/>
    <w:rsid w:val="00E376F6"/>
    <w:rsid w:val="00E4047B"/>
    <w:rsid w:val="00E41A79"/>
    <w:rsid w:val="00E44641"/>
    <w:rsid w:val="00E44A83"/>
    <w:rsid w:val="00E457B2"/>
    <w:rsid w:val="00E502C1"/>
    <w:rsid w:val="00E502DD"/>
    <w:rsid w:val="00E50D3A"/>
    <w:rsid w:val="00E510E7"/>
    <w:rsid w:val="00E51387"/>
    <w:rsid w:val="00E51676"/>
    <w:rsid w:val="00E51E68"/>
    <w:rsid w:val="00E51ED7"/>
    <w:rsid w:val="00E52EFD"/>
    <w:rsid w:val="00E5408A"/>
    <w:rsid w:val="00E56800"/>
    <w:rsid w:val="00E60C63"/>
    <w:rsid w:val="00E619E8"/>
    <w:rsid w:val="00E61C70"/>
    <w:rsid w:val="00E6253C"/>
    <w:rsid w:val="00E62FF9"/>
    <w:rsid w:val="00E635D6"/>
    <w:rsid w:val="00E639BC"/>
    <w:rsid w:val="00E6560D"/>
    <w:rsid w:val="00E6612D"/>
    <w:rsid w:val="00E664CC"/>
    <w:rsid w:val="00E66A45"/>
    <w:rsid w:val="00E70388"/>
    <w:rsid w:val="00E70F92"/>
    <w:rsid w:val="00E73A2E"/>
    <w:rsid w:val="00E74313"/>
    <w:rsid w:val="00E74C54"/>
    <w:rsid w:val="00E77A03"/>
    <w:rsid w:val="00E800DA"/>
    <w:rsid w:val="00E822E8"/>
    <w:rsid w:val="00E82554"/>
    <w:rsid w:val="00E82606"/>
    <w:rsid w:val="00E831C1"/>
    <w:rsid w:val="00E846C8"/>
    <w:rsid w:val="00E84957"/>
    <w:rsid w:val="00E84A55"/>
    <w:rsid w:val="00E85BFF"/>
    <w:rsid w:val="00E90391"/>
    <w:rsid w:val="00E906C2"/>
    <w:rsid w:val="00E9311F"/>
    <w:rsid w:val="00E933E5"/>
    <w:rsid w:val="00E934D1"/>
    <w:rsid w:val="00E93E8D"/>
    <w:rsid w:val="00E94AF0"/>
    <w:rsid w:val="00E95D13"/>
    <w:rsid w:val="00E95DD3"/>
    <w:rsid w:val="00E969D5"/>
    <w:rsid w:val="00EA542D"/>
    <w:rsid w:val="00EA58D1"/>
    <w:rsid w:val="00EA61BC"/>
    <w:rsid w:val="00EA681A"/>
    <w:rsid w:val="00EA735B"/>
    <w:rsid w:val="00EB1E69"/>
    <w:rsid w:val="00EB2086"/>
    <w:rsid w:val="00EB31ED"/>
    <w:rsid w:val="00EB53FB"/>
    <w:rsid w:val="00EB5EDF"/>
    <w:rsid w:val="00EB60FE"/>
    <w:rsid w:val="00EB6525"/>
    <w:rsid w:val="00EB74DB"/>
    <w:rsid w:val="00EB7A0B"/>
    <w:rsid w:val="00EC3A40"/>
    <w:rsid w:val="00EC5359"/>
    <w:rsid w:val="00EC562A"/>
    <w:rsid w:val="00ED067A"/>
    <w:rsid w:val="00ED2B50"/>
    <w:rsid w:val="00EE0350"/>
    <w:rsid w:val="00EE0719"/>
    <w:rsid w:val="00EE0E80"/>
    <w:rsid w:val="00EE2087"/>
    <w:rsid w:val="00EE5A10"/>
    <w:rsid w:val="00EE613F"/>
    <w:rsid w:val="00EE6350"/>
    <w:rsid w:val="00EE7295"/>
    <w:rsid w:val="00EE7869"/>
    <w:rsid w:val="00EE7F4E"/>
    <w:rsid w:val="00EF054A"/>
    <w:rsid w:val="00EF2B7E"/>
    <w:rsid w:val="00EF3235"/>
    <w:rsid w:val="00EF7E72"/>
    <w:rsid w:val="00F02BB0"/>
    <w:rsid w:val="00F03440"/>
    <w:rsid w:val="00F040E9"/>
    <w:rsid w:val="00F06416"/>
    <w:rsid w:val="00F06D37"/>
    <w:rsid w:val="00F07B9D"/>
    <w:rsid w:val="00F11586"/>
    <w:rsid w:val="00F1183B"/>
    <w:rsid w:val="00F11C9F"/>
    <w:rsid w:val="00F12263"/>
    <w:rsid w:val="00F1409D"/>
    <w:rsid w:val="00F1412A"/>
    <w:rsid w:val="00F14214"/>
    <w:rsid w:val="00F14491"/>
    <w:rsid w:val="00F157A9"/>
    <w:rsid w:val="00F1622A"/>
    <w:rsid w:val="00F16CA6"/>
    <w:rsid w:val="00F16F00"/>
    <w:rsid w:val="00F21D41"/>
    <w:rsid w:val="00F25BB6"/>
    <w:rsid w:val="00F26B7E"/>
    <w:rsid w:val="00F27A3B"/>
    <w:rsid w:val="00F30EC5"/>
    <w:rsid w:val="00F32780"/>
    <w:rsid w:val="00F32BF6"/>
    <w:rsid w:val="00F33817"/>
    <w:rsid w:val="00F3593F"/>
    <w:rsid w:val="00F420D5"/>
    <w:rsid w:val="00F44680"/>
    <w:rsid w:val="00F451EA"/>
    <w:rsid w:val="00F45447"/>
    <w:rsid w:val="00F456C6"/>
    <w:rsid w:val="00F4577B"/>
    <w:rsid w:val="00F46496"/>
    <w:rsid w:val="00F46DD7"/>
    <w:rsid w:val="00F474D0"/>
    <w:rsid w:val="00F50179"/>
    <w:rsid w:val="00F515EE"/>
    <w:rsid w:val="00F52BFA"/>
    <w:rsid w:val="00F5395A"/>
    <w:rsid w:val="00F5453F"/>
    <w:rsid w:val="00F56511"/>
    <w:rsid w:val="00F56C24"/>
    <w:rsid w:val="00F6094B"/>
    <w:rsid w:val="00F6194E"/>
    <w:rsid w:val="00F623AC"/>
    <w:rsid w:val="00F6412A"/>
    <w:rsid w:val="00F64DCD"/>
    <w:rsid w:val="00F65893"/>
    <w:rsid w:val="00F66A4A"/>
    <w:rsid w:val="00F66D3B"/>
    <w:rsid w:val="00F704E1"/>
    <w:rsid w:val="00F71E22"/>
    <w:rsid w:val="00F72142"/>
    <w:rsid w:val="00F72AE7"/>
    <w:rsid w:val="00F73C42"/>
    <w:rsid w:val="00F75FA5"/>
    <w:rsid w:val="00F8032A"/>
    <w:rsid w:val="00F833BA"/>
    <w:rsid w:val="00F84ECB"/>
    <w:rsid w:val="00F84FD0"/>
    <w:rsid w:val="00F859A8"/>
    <w:rsid w:val="00F869C6"/>
    <w:rsid w:val="00F86D87"/>
    <w:rsid w:val="00F87FE3"/>
    <w:rsid w:val="00F90B50"/>
    <w:rsid w:val="00F9108B"/>
    <w:rsid w:val="00F91349"/>
    <w:rsid w:val="00F93A8A"/>
    <w:rsid w:val="00F9453C"/>
    <w:rsid w:val="00F95248"/>
    <w:rsid w:val="00F956A9"/>
    <w:rsid w:val="00F958B8"/>
    <w:rsid w:val="00F963ED"/>
    <w:rsid w:val="00F966CF"/>
    <w:rsid w:val="00F96CAE"/>
    <w:rsid w:val="00F96EA3"/>
    <w:rsid w:val="00F97C99"/>
    <w:rsid w:val="00FA3C49"/>
    <w:rsid w:val="00FA662D"/>
    <w:rsid w:val="00FA73B1"/>
    <w:rsid w:val="00FA7706"/>
    <w:rsid w:val="00FB0146"/>
    <w:rsid w:val="00FB0CB9"/>
    <w:rsid w:val="00FB231D"/>
    <w:rsid w:val="00FB2A02"/>
    <w:rsid w:val="00FB45F1"/>
    <w:rsid w:val="00FB4A72"/>
    <w:rsid w:val="00FB54E8"/>
    <w:rsid w:val="00FB629F"/>
    <w:rsid w:val="00FB63EC"/>
    <w:rsid w:val="00FB7054"/>
    <w:rsid w:val="00FC17B7"/>
    <w:rsid w:val="00FC2CB7"/>
    <w:rsid w:val="00FC3BF7"/>
    <w:rsid w:val="00FC4090"/>
    <w:rsid w:val="00FC55B4"/>
    <w:rsid w:val="00FD00E6"/>
    <w:rsid w:val="00FD09A1"/>
    <w:rsid w:val="00FD0AC8"/>
    <w:rsid w:val="00FD2A7C"/>
    <w:rsid w:val="00FD3C7A"/>
    <w:rsid w:val="00FD59EB"/>
    <w:rsid w:val="00FD6D8F"/>
    <w:rsid w:val="00FD7299"/>
    <w:rsid w:val="00FE0116"/>
    <w:rsid w:val="00FE0458"/>
    <w:rsid w:val="00FE1FBE"/>
    <w:rsid w:val="00FE3901"/>
    <w:rsid w:val="00FE39D3"/>
    <w:rsid w:val="00FE4BCE"/>
    <w:rsid w:val="00FE54AE"/>
    <w:rsid w:val="00FE576A"/>
    <w:rsid w:val="00FE67DC"/>
    <w:rsid w:val="00FE7567"/>
    <w:rsid w:val="00FE7E79"/>
    <w:rsid w:val="00FF08D9"/>
    <w:rsid w:val="00FF1D92"/>
    <w:rsid w:val="00FF2983"/>
    <w:rsid w:val="00FF3E7D"/>
    <w:rsid w:val="00FF5B99"/>
    <w:rsid w:val="00FF730C"/>
    <w:rsid w:val="00FF73F4"/>
    <w:rsid w:val="00FF7CE4"/>
    <w:rsid w:val="00FF7E39"/>
    <w:rsid w:val="05687FA9"/>
    <w:rsid w:val="05746082"/>
    <w:rsid w:val="072C2A68"/>
    <w:rsid w:val="083401EA"/>
    <w:rsid w:val="0F7F3811"/>
    <w:rsid w:val="1C2314BA"/>
    <w:rsid w:val="1EC00236"/>
    <w:rsid w:val="27360F82"/>
    <w:rsid w:val="286F3867"/>
    <w:rsid w:val="2CCF0751"/>
    <w:rsid w:val="2E893F9F"/>
    <w:rsid w:val="2FDD20CC"/>
    <w:rsid w:val="31134DAF"/>
    <w:rsid w:val="34BC413C"/>
    <w:rsid w:val="399A662C"/>
    <w:rsid w:val="3D42213C"/>
    <w:rsid w:val="46BB5701"/>
    <w:rsid w:val="48717CFE"/>
    <w:rsid w:val="49327C8B"/>
    <w:rsid w:val="4F761E9C"/>
    <w:rsid w:val="51701F10"/>
    <w:rsid w:val="55B043B6"/>
    <w:rsid w:val="5ABE2C94"/>
    <w:rsid w:val="5BD36A3E"/>
    <w:rsid w:val="5C57224B"/>
    <w:rsid w:val="5D706314"/>
    <w:rsid w:val="5DBC0B11"/>
    <w:rsid w:val="5E3147E7"/>
    <w:rsid w:val="64815686"/>
    <w:rsid w:val="6A213B34"/>
    <w:rsid w:val="6B90278E"/>
    <w:rsid w:val="6BDC7946"/>
    <w:rsid w:val="6CC71E69"/>
    <w:rsid w:val="72B9274D"/>
    <w:rsid w:val="72E6311A"/>
    <w:rsid w:val="74E4546F"/>
    <w:rsid w:val="7680170C"/>
    <w:rsid w:val="77E63D3F"/>
    <w:rsid w:val="7D09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Char"/>
    <w:basedOn w:val="1"/>
    <w:qFormat/>
    <w:uiPriority w:val="0"/>
    <w:pPr>
      <w:tabs>
        <w:tab w:val="left" w:pos="425"/>
      </w:tabs>
      <w:adjustRightInd/>
      <w:spacing w:line="240" w:lineRule="auto"/>
    </w:pPr>
    <w:rPr>
      <w:rFonts w:ascii="Times New Roman" w:hAnsi="Times New Roman" w:eastAsia="仿宋_GB2312"/>
      <w:kern w:val="24"/>
      <w:sz w:val="24"/>
      <w:szCs w:val="24"/>
    </w:rPr>
  </w:style>
  <w:style w:type="paragraph" w:customStyle="1" w:styleId="240">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4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43">
    <w:name w:val="二级无"/>
    <w:basedOn w:val="235"/>
    <w:qFormat/>
    <w:uiPriority w:val="0"/>
    <w:pPr>
      <w:numPr>
        <w:numId w:val="31"/>
      </w:numPr>
      <w:spacing w:before="0" w:beforeLines="0" w:after="0" w:afterLines="0"/>
    </w:pPr>
    <w:rPr>
      <w:rFonts w:ascii="宋体" w:eastAsia="宋体"/>
    </w:rPr>
  </w:style>
  <w:style w:type="paragraph" w:customStyle="1" w:styleId="244">
    <w:name w:val="Char Char2"/>
    <w:basedOn w:val="1"/>
    <w:qFormat/>
    <w:uiPriority w:val="0"/>
    <w:pPr>
      <w:widowControl/>
      <w:adjustRightInd/>
      <w:spacing w:after="160" w:line="240" w:lineRule="exact"/>
      <w:jc w:val="left"/>
    </w:pPr>
    <w:rPr>
      <w:rFonts w:ascii="Times New Roman" w:hAnsi="Times New Roman" w:eastAsia="仿宋_GB2312"/>
      <w:sz w:val="32"/>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885C621E8D4FE59CB587E45A96531B"/>
        <w:style w:val=""/>
        <w:category>
          <w:name w:val="常规"/>
          <w:gallery w:val="placeholder"/>
        </w:category>
        <w:types>
          <w:type w:val="bbPlcHdr"/>
        </w:types>
        <w:behaviors>
          <w:behavior w:val="content"/>
        </w:behaviors>
        <w:description w:val=""/>
        <w:guid w:val="{90F9D3F9-7E48-47DC-90CF-976C3E137E6A}"/>
      </w:docPartPr>
      <w:docPartBody>
        <w:p w14:paraId="6007A9A1">
          <w:pPr>
            <w:pStyle w:val="5"/>
          </w:pPr>
          <w:r>
            <w:rPr>
              <w:rStyle w:val="4"/>
              <w:rFonts w:hint="eastAsia"/>
            </w:rPr>
            <w:t>单击或点击此处输入文字。</w:t>
          </w:r>
        </w:p>
      </w:docPartBody>
    </w:docPart>
    <w:docPart>
      <w:docPartPr>
        <w:name w:val="393BDBBAA30341C58BF6B27256F1D8B3"/>
        <w:style w:val=""/>
        <w:category>
          <w:name w:val="常规"/>
          <w:gallery w:val="placeholder"/>
        </w:category>
        <w:types>
          <w:type w:val="bbPlcHdr"/>
        </w:types>
        <w:behaviors>
          <w:behavior w:val="content"/>
        </w:behaviors>
        <w:description w:val=""/>
        <w:guid w:val="{9FD69774-27F4-4EB7-B6CE-B566B03E16A2}"/>
      </w:docPartPr>
      <w:docPartBody>
        <w:p w14:paraId="3961354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B3"/>
    <w:rsid w:val="00013552"/>
    <w:rsid w:val="00027046"/>
    <w:rsid w:val="0003651B"/>
    <w:rsid w:val="000538F3"/>
    <w:rsid w:val="000E4290"/>
    <w:rsid w:val="000E4DBC"/>
    <w:rsid w:val="000E57F7"/>
    <w:rsid w:val="000F6269"/>
    <w:rsid w:val="00100CDD"/>
    <w:rsid w:val="001371B9"/>
    <w:rsid w:val="00142211"/>
    <w:rsid w:val="0016613C"/>
    <w:rsid w:val="00174E5C"/>
    <w:rsid w:val="001E547B"/>
    <w:rsid w:val="001F2B74"/>
    <w:rsid w:val="0026530D"/>
    <w:rsid w:val="002E371A"/>
    <w:rsid w:val="003A0842"/>
    <w:rsid w:val="003A3798"/>
    <w:rsid w:val="003B50AB"/>
    <w:rsid w:val="003D312C"/>
    <w:rsid w:val="00420318"/>
    <w:rsid w:val="0047707C"/>
    <w:rsid w:val="004C479C"/>
    <w:rsid w:val="004F2073"/>
    <w:rsid w:val="005D5C4E"/>
    <w:rsid w:val="005F2955"/>
    <w:rsid w:val="00601732"/>
    <w:rsid w:val="00634E41"/>
    <w:rsid w:val="00642930"/>
    <w:rsid w:val="00651E1E"/>
    <w:rsid w:val="0066026B"/>
    <w:rsid w:val="00674FCE"/>
    <w:rsid w:val="006821D1"/>
    <w:rsid w:val="0069210B"/>
    <w:rsid w:val="006B3E15"/>
    <w:rsid w:val="006C4BF6"/>
    <w:rsid w:val="006D240E"/>
    <w:rsid w:val="00733BBC"/>
    <w:rsid w:val="00734C38"/>
    <w:rsid w:val="00761D7D"/>
    <w:rsid w:val="00797848"/>
    <w:rsid w:val="007A074F"/>
    <w:rsid w:val="007C65BB"/>
    <w:rsid w:val="0082398D"/>
    <w:rsid w:val="00837C76"/>
    <w:rsid w:val="00870B2F"/>
    <w:rsid w:val="0087266B"/>
    <w:rsid w:val="00881A85"/>
    <w:rsid w:val="008A2DF4"/>
    <w:rsid w:val="008E0138"/>
    <w:rsid w:val="009025FC"/>
    <w:rsid w:val="00932CCE"/>
    <w:rsid w:val="009659EF"/>
    <w:rsid w:val="00965E84"/>
    <w:rsid w:val="009943B3"/>
    <w:rsid w:val="009B5B2A"/>
    <w:rsid w:val="00A161B0"/>
    <w:rsid w:val="00A176C0"/>
    <w:rsid w:val="00A55781"/>
    <w:rsid w:val="00A55B95"/>
    <w:rsid w:val="00AD6D3E"/>
    <w:rsid w:val="00B935EE"/>
    <w:rsid w:val="00B97A72"/>
    <w:rsid w:val="00C44B2B"/>
    <w:rsid w:val="00C94A86"/>
    <w:rsid w:val="00CC2C54"/>
    <w:rsid w:val="00D30A9E"/>
    <w:rsid w:val="00DA3C62"/>
    <w:rsid w:val="00DC7F11"/>
    <w:rsid w:val="00E221AD"/>
    <w:rsid w:val="00E50387"/>
    <w:rsid w:val="00E562ED"/>
    <w:rsid w:val="00E65946"/>
    <w:rsid w:val="00E77D3D"/>
    <w:rsid w:val="00E929B2"/>
    <w:rsid w:val="00EB0FF5"/>
    <w:rsid w:val="00ED643A"/>
    <w:rsid w:val="00EE4706"/>
    <w:rsid w:val="00F01195"/>
    <w:rsid w:val="00F7344C"/>
    <w:rsid w:val="00FC78CD"/>
    <w:rsid w:val="00F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885C621E8D4FE59CB587E45A96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5DAB2A21EB4077ADD034B902E66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93BDBBAA30341C58BF6B27256F1D8B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F7F89-4D76-44F5-BE35-E44E6A69A266}">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1902</Words>
  <Characters>1958</Characters>
  <Lines>20</Lines>
  <Paragraphs>5</Paragraphs>
  <TotalTime>1</TotalTime>
  <ScaleCrop>false</ScaleCrop>
  <LinksUpToDate>false</LinksUpToDate>
  <CharactersWithSpaces>1994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2022-08-31T03:02:00Z</dcterms:created>
  <dc:creator>Lenovo</dc:creator>
  <dc:description>&lt;config cover="true" show_menu="true" version="1.0.0" doctype="SDKXY"&gt;_x000d_
&lt;/config&gt;</dc:description>
  <cp:lastModifiedBy>@Si413</cp:lastModifiedBy>
  <cp:lastPrinted>2022-11-01T01:23:00Z</cp:lastPrinted>
  <dcterms:modified xsi:type="dcterms:W3CDTF">2026-01-30T07:06:38Z</dcterms:modified>
  <dc:title>团体标准</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387CA2C018314F89ACCEB4498271D109</vt:lpwstr>
  </property>
  <property fmtid="{D5CDD505-2E9C-101B-9397-08002B2CF9AE}" pid="17" name="KSOTemplateDocerSaveRecord">
    <vt:lpwstr>eyJoZGlkIjoiMGI1ZTQ0OTg3ZmU3OTA5NDU2ZTAzMTFlYTI0OTA0YjAiLCJ1c2VySWQiOiI2MTc4NzkwMTAifQ==</vt:lpwstr>
  </property>
</Properties>
</file>